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3816" w14:textId="77777777" w:rsidR="002916DE" w:rsidRDefault="002916DE"/>
    <w:p w14:paraId="6850CB03" w14:textId="1DC0D4CB" w:rsidR="00955F0F" w:rsidRPr="00350E35" w:rsidRDefault="00955F0F" w:rsidP="00350E35">
      <w:pPr>
        <w:pStyle w:val="Cytatintensywny"/>
      </w:pPr>
      <w:r>
        <w:t>Art.</w:t>
      </w:r>
      <w:r w:rsidR="000C4807">
        <w:t>1</w:t>
      </w:r>
      <w:r>
        <w:t>7  Prawa atomowego</w:t>
      </w:r>
    </w:p>
    <w:p w14:paraId="7206247F" w14:textId="41898481" w:rsidR="000C4807" w:rsidRPr="000C4807" w:rsidRDefault="00955F0F" w:rsidP="000C4807">
      <w:pP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</w:pPr>
      <w:r w:rsidRPr="00955F0F">
        <w:rPr>
          <w:rFonts w:ascii="Arial" w:hAnsi="Arial" w:cs="Arial"/>
          <w:b/>
          <w:bCs/>
        </w:rPr>
        <w:t>Art.</w:t>
      </w:r>
      <w:r w:rsidR="000C4807" w:rsidRPr="000C480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0C4807" w:rsidRPr="000C4807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eastAsia="pl-PL"/>
        </w:rPr>
        <w:t xml:space="preserve">17.  [Ocena narażenia pracowników] </w:t>
      </w:r>
    </w:p>
    <w:p w14:paraId="70B30E2D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1.  W celu dostosowania sposobu oceny zagrożenia pracowników w jednostkach organizacyjnych do jego spodziewanego poziomu, w zależności od wielkości zagrożenia, wprowadza się dwie kategorie pracowników:</w:t>
      </w:r>
    </w:p>
    <w:p w14:paraId="2033BFDF" w14:textId="6739041C" w:rsidR="000C4807" w:rsidRPr="000C4807" w:rsidRDefault="000C4807" w:rsidP="000C4807">
      <w:pPr>
        <w:spacing w:after="0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kategorię A obejmującą pracowników, którzy mogą być narażeni na:</w:t>
      </w:r>
    </w:p>
    <w:p w14:paraId="7C549AA9" w14:textId="77777777" w:rsidR="000C4807" w:rsidRPr="000C4807" w:rsidRDefault="000C4807" w:rsidP="000C4807">
      <w:pPr>
        <w:spacing w:after="0" w:line="396" w:lineRule="atLeast"/>
        <w:ind w:left="1416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a) dawkę skuteczną (efektywną) przekraczającą 6 </w:t>
      </w:r>
      <w:proofErr w:type="spellStart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mSv</w:t>
      </w:r>
      <w:proofErr w:type="spellEnd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w ciągu roku lub</w:t>
      </w:r>
    </w:p>
    <w:p w14:paraId="54BE3EA1" w14:textId="77777777" w:rsidR="000C4807" w:rsidRPr="000C4807" w:rsidRDefault="000C4807" w:rsidP="000C4807">
      <w:pPr>
        <w:spacing w:after="72" w:line="396" w:lineRule="atLeast"/>
        <w:ind w:left="1416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b) dawkę równoważną przekraczającą 15 </w:t>
      </w:r>
      <w:proofErr w:type="spellStart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mSv</w:t>
      </w:r>
      <w:proofErr w:type="spellEnd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rocznie dla soczewek oczu lub 150 </w:t>
      </w:r>
      <w:proofErr w:type="spellStart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mSv</w:t>
      </w:r>
      <w:proofErr w:type="spellEnd"/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 xml:space="preserve"> rocznie dla skóry lub kończyn;</w:t>
      </w:r>
    </w:p>
    <w:p w14:paraId="21757C6F" w14:textId="2EA506C2" w:rsidR="000C4807" w:rsidRPr="000C4807" w:rsidRDefault="000C4807" w:rsidP="000C4807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 kategorię B obejmującą pracowników, którzy nie zostali zaliczeni do kategorii A.</w:t>
      </w:r>
    </w:p>
    <w:p w14:paraId="33336EEA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2.  Ocena narażenia pracowników prowadzona jest na podstawie kontrolnych pomiarów dawek indywidualnych lub pomiarów dozymetrycznych w środowisku pracy.</w:t>
      </w:r>
    </w:p>
    <w:p w14:paraId="5732D083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3.  Pracownicy kategorii A podlegają ocenie narażenia prowadzonej na podstawie systematycznych pomiarów dawek indywidualnych, a jeżeli mogą być narażeni na skażenie wewnętrzne mające wpływ na poziom dawki skutecznej dla tej kategorii pracowników, podlegają również pomiarom skażeń wewnętrznych.</w:t>
      </w:r>
    </w:p>
    <w:p w14:paraId="537612B2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4.  Pracownicy kategorii B podlegają ocenie narażenia prowadzonej na podstawie pomiarów dozymetrycznych w środowisku pracy w sposób pozwalający stwierdzić prawidłowość zaliczenia pracowników do tej kategorii, chyba że kierownik jednostki organizacyjnej zadecyduje o objęciu ich systematycznymi pomiarami dawek indywidualnych. Zezwolenie może zawierać warunek prowadzenia oceny narażenia pracowników kategorii B wykonujących prace określone w tym zezwoleniu na podstawie pomiarów dawek indywidualnych.</w:t>
      </w:r>
    </w:p>
    <w:p w14:paraId="73B82016" w14:textId="489A035D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5.  W przypadku gdy pomiar dawki indywidualnej jest niemożliwy lub niewłaściwy, ocena dawki indywidualnej otrzymanej przez pracownika kategorii A może być dokonana na podstawie:</w:t>
      </w:r>
    </w:p>
    <w:p w14:paraId="79B3DBA2" w14:textId="77777777" w:rsidR="000C4807" w:rsidRPr="000C4807" w:rsidRDefault="000C4807" w:rsidP="000C4807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1) wyników pomiarów dawek indywidualnych przeprowadzonych dla innych narażonych pracowników tej kategorii lub</w:t>
      </w:r>
    </w:p>
    <w:p w14:paraId="03FDC892" w14:textId="77777777" w:rsidR="000C4807" w:rsidRPr="000C4807" w:rsidRDefault="000C4807" w:rsidP="000C4807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2) wyników pomiarów dozymetrycznych w środowisku pracy, lub</w:t>
      </w:r>
    </w:p>
    <w:p w14:paraId="3A04401D" w14:textId="77777777" w:rsidR="000C4807" w:rsidRPr="000C4807" w:rsidRDefault="000C4807" w:rsidP="000C4807">
      <w:pPr>
        <w:spacing w:after="72" w:line="396" w:lineRule="atLeast"/>
        <w:ind w:left="708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3) metod obliczeniowych, o których mowa w ust. 5a.</w:t>
      </w:r>
    </w:p>
    <w:p w14:paraId="501C5F6B" w14:textId="3DB6CC86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5a.  Organ właściwy do wydania zezwolenia, przyjęcia zgłoszenia lub przyjęcia powiadomienia, o których mowa w art. 4 ust. 1 lub 1a, na wniosek kierownika jednostki organizacyjnej, zatwierdza, w drodze decyzji administracyjnej, metody obliczeniowe stanowiące podstawę oceny dawki indywidualnej otrzymanej przez pracownika kategorii A, w przypadku gdy pomiar dawki indywidualnej jest niemożliwy lub niewłaściwy.</w:t>
      </w:r>
    </w:p>
    <w:p w14:paraId="6B855F44" w14:textId="7C770DF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lastRenderedPageBreak/>
        <w:t>5b.   Kierownik jednostki organizacyjnej na bieżąco informuje pracownika o wynikach oceny narażenia tego pracownika. W przypadku gdy pracownik jest objęty oceną dawek indywidualnych, kierownik jednostki organizacyjnej informuje tego pracownika w szczególności o otrzymanych przez pracownika dawkach indywidualnych.</w:t>
      </w:r>
    </w:p>
    <w:p w14:paraId="76A493E8" w14:textId="373E0E22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5c.   Na żądanie pracownika kierownik jednostki organizacyjnej, a w przypadku pracownika zewnętrznego - także pracodawca, niezwłocznie informują pracownika o wynikach oceny narażenia, w szczególności o otrzymanych przez tego pracownika dawkach indywidualnych oraz o wynikach pomiarów stanowiących podstawę oceny narażenia.</w:t>
      </w:r>
    </w:p>
    <w:p w14:paraId="22CB342D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6.  Zaliczenia pracowników zatrudnionych w warunkach narażenia do kategorii A lub B dokonuje kierownik jednostki organizacyjnej, w zależności od przewidywanego poziomu narażenia tych pracowników.</w:t>
      </w:r>
    </w:p>
    <w:p w14:paraId="689D76CA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7.  Ze względu na zdolność do wykonywania pracy w grupie pracowników kategorii A ustala się następującą klasyfikację medyczną: zdolny, zdolny pod pewnymi warunkami, niezdolny.</w:t>
      </w:r>
    </w:p>
    <w:p w14:paraId="7BE3186B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7a.  Klasyfikacji medycznej pracownika kategorii A dokonuje uprawniony lekarz, który sprawuje nadzór medyczny nad tym pracownikiem.</w:t>
      </w:r>
    </w:p>
    <w:p w14:paraId="522CB66F" w14:textId="77777777" w:rsidR="000C4807" w:rsidRPr="000C4807" w:rsidRDefault="000C4807" w:rsidP="000C4807">
      <w:pPr>
        <w:spacing w:after="0" w:line="240" w:lineRule="auto"/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</w:pPr>
      <w:r w:rsidRPr="000C4807">
        <w:rPr>
          <w:rFonts w:ascii="Open Sans" w:eastAsia="Times New Roman" w:hAnsi="Open Sans" w:cs="Times New Roman"/>
          <w:color w:val="333333"/>
          <w:sz w:val="24"/>
          <w:szCs w:val="24"/>
          <w:lang w:eastAsia="pl-PL"/>
        </w:rPr>
        <w:t>8.  Pracownik nie może być zatrudniony na określonym stanowisku w kategorii A, jeżeli uprawniony lekarz wydał orzeczenie, że jest on niezdolny do wykonywania takiej pracy.</w:t>
      </w:r>
    </w:p>
    <w:p w14:paraId="67FE4E43" w14:textId="6D264C4D" w:rsidR="00955F0F" w:rsidRDefault="00955F0F" w:rsidP="00955F0F">
      <w:pPr>
        <w:ind w:left="708"/>
      </w:pPr>
    </w:p>
    <w:p w14:paraId="714A231A" w14:textId="44318379" w:rsidR="000C4807" w:rsidRDefault="000C4807" w:rsidP="00955F0F">
      <w:pPr>
        <w:ind w:left="708"/>
      </w:pPr>
    </w:p>
    <w:p w14:paraId="3A8D8981" w14:textId="20DB0B04" w:rsidR="000C4807" w:rsidRPr="000C4807" w:rsidRDefault="000C4807" w:rsidP="00955F0F">
      <w:pPr>
        <w:ind w:left="708"/>
        <w:rPr>
          <w:sz w:val="24"/>
          <w:szCs w:val="24"/>
        </w:rPr>
      </w:pPr>
      <w:r w:rsidRPr="000C4807">
        <w:rPr>
          <w:rStyle w:val="ng-binding"/>
          <w:rFonts w:ascii="Open Sans" w:hAnsi="Open Sans"/>
          <w:color w:val="1B1B1B"/>
        </w:rPr>
        <w:t xml:space="preserve">Dz.U.2019.1792 </w:t>
      </w:r>
      <w:proofErr w:type="spellStart"/>
      <w:r w:rsidRPr="000C4807">
        <w:rPr>
          <w:rStyle w:val="ng-binding"/>
          <w:rFonts w:ascii="Open Sans" w:hAnsi="Open Sans"/>
          <w:color w:val="1B1B1B"/>
        </w:rPr>
        <w:t>t.j</w:t>
      </w:r>
      <w:proofErr w:type="spellEnd"/>
      <w:r w:rsidRPr="000C4807">
        <w:rPr>
          <w:rStyle w:val="ng-binding"/>
          <w:rFonts w:ascii="Open Sans" w:hAnsi="Open Sans"/>
          <w:color w:val="1B1B1B"/>
        </w:rPr>
        <w:t>.</w:t>
      </w:r>
      <w:r w:rsidRPr="000C4807">
        <w:rPr>
          <w:rFonts w:ascii="Open Sans" w:hAnsi="Open Sans"/>
          <w:color w:val="1B1B1B"/>
        </w:rPr>
        <w:t xml:space="preserve"> </w:t>
      </w:r>
      <w:r w:rsidRPr="000C4807">
        <w:rPr>
          <w:rStyle w:val="ng-scope"/>
          <w:rFonts w:ascii="Open Sans" w:hAnsi="Open Sans"/>
          <w:color w:val="1B1B1B"/>
        </w:rPr>
        <w:t>z dnia</w:t>
      </w:r>
      <w:r w:rsidRPr="000C4807">
        <w:rPr>
          <w:rFonts w:ascii="Open Sans" w:hAnsi="Open Sans"/>
          <w:color w:val="1B1B1B"/>
        </w:rPr>
        <w:t xml:space="preserve"> 2019.09.20</w:t>
      </w:r>
      <w:bookmarkStart w:id="0" w:name="_GoBack"/>
      <w:bookmarkEnd w:id="0"/>
    </w:p>
    <w:sectPr w:rsidR="000C4807" w:rsidRPr="000C4807" w:rsidSect="00955F0F">
      <w:head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54E" w14:textId="77777777" w:rsidR="00955F0F" w:rsidRDefault="00955F0F" w:rsidP="00955F0F">
      <w:pPr>
        <w:spacing w:after="0" w:line="240" w:lineRule="auto"/>
      </w:pPr>
      <w:r>
        <w:separator/>
      </w:r>
    </w:p>
  </w:endnote>
  <w:endnote w:type="continuationSeparator" w:id="0">
    <w:p w14:paraId="7FB99B57" w14:textId="77777777" w:rsidR="00955F0F" w:rsidRDefault="00955F0F" w:rsidP="0095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94646" w14:textId="77777777" w:rsidR="00955F0F" w:rsidRDefault="00955F0F" w:rsidP="00955F0F">
      <w:pPr>
        <w:spacing w:after="0" w:line="240" w:lineRule="auto"/>
      </w:pPr>
      <w:r>
        <w:separator/>
      </w:r>
    </w:p>
  </w:footnote>
  <w:footnote w:type="continuationSeparator" w:id="0">
    <w:p w14:paraId="3A72766F" w14:textId="77777777" w:rsidR="00955F0F" w:rsidRDefault="00955F0F" w:rsidP="0095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D80EF" w14:textId="77777777" w:rsidR="00955F0F" w:rsidRPr="00350E35" w:rsidRDefault="00955F0F">
    <w:pPr>
      <w:pStyle w:val="Nagwek"/>
      <w:rPr>
        <w:rFonts w:ascii="Comic Sans MS" w:hAnsi="Comic Sans MS"/>
      </w:rPr>
    </w:pPr>
    <w:r w:rsidRPr="00350E35">
      <w:rPr>
        <w:rFonts w:ascii="Comic Sans MS" w:hAnsi="Comic Sans MS"/>
      </w:rPr>
      <w:t>Komisja Stomatologiczna NRL</w:t>
    </w:r>
  </w:p>
  <w:p w14:paraId="3EB83E38" w14:textId="77777777" w:rsidR="00955F0F" w:rsidRDefault="00955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0F"/>
    <w:rsid w:val="000C4807"/>
    <w:rsid w:val="002916DE"/>
    <w:rsid w:val="00350E35"/>
    <w:rsid w:val="009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7EDE"/>
  <w15:chartTrackingRefBased/>
  <w15:docId w15:val="{268412C9-19AA-40E6-95D3-C0AF2BF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55F0F"/>
  </w:style>
  <w:style w:type="character" w:customStyle="1" w:styleId="fn-ref">
    <w:name w:val="fn-ref"/>
    <w:basedOn w:val="Domylnaczcionkaakapitu"/>
    <w:rsid w:val="00955F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55F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55F0F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0F"/>
  </w:style>
  <w:style w:type="paragraph" w:styleId="Stopka">
    <w:name w:val="footer"/>
    <w:basedOn w:val="Normalny"/>
    <w:link w:val="StopkaZnak"/>
    <w:uiPriority w:val="99"/>
    <w:unhideWhenUsed/>
    <w:rsid w:val="00955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0F"/>
  </w:style>
  <w:style w:type="character" w:customStyle="1" w:styleId="alb-s">
    <w:name w:val="a_lb-s"/>
    <w:basedOn w:val="Domylnaczcionkaakapitu"/>
    <w:rsid w:val="000C4807"/>
  </w:style>
  <w:style w:type="character" w:customStyle="1" w:styleId="ng-binding">
    <w:name w:val="ng-binding"/>
    <w:basedOn w:val="Domylnaczcionkaakapitu"/>
    <w:rsid w:val="000C4807"/>
  </w:style>
  <w:style w:type="character" w:customStyle="1" w:styleId="ng-scope">
    <w:name w:val="ng-scope"/>
    <w:basedOn w:val="Domylnaczcionkaakapitu"/>
    <w:rsid w:val="000C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60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3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743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50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37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3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28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93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53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125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2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5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10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964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4256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2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1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7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2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288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97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1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00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0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9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6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4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E4E37-16AA-406D-AA60-5DB3140B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Cisło</dc:creator>
  <cp:keywords/>
  <dc:description/>
  <cp:lastModifiedBy>Andrzej Cisło</cp:lastModifiedBy>
  <cp:revision>3</cp:revision>
  <dcterms:created xsi:type="dcterms:W3CDTF">2019-11-02T17:03:00Z</dcterms:created>
  <dcterms:modified xsi:type="dcterms:W3CDTF">2019-11-02T17:16:00Z</dcterms:modified>
</cp:coreProperties>
</file>