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8F" w:rsidRPr="00886588" w:rsidRDefault="0029488F" w:rsidP="00886588">
      <w:pPr>
        <w:spacing w:after="240" w:line="276" w:lineRule="auto"/>
        <w:jc w:val="both"/>
        <w:rPr>
          <w:rFonts w:ascii="Times New Roman" w:hAnsi="Times New Roman" w:cs="Times New Roman"/>
          <w:b/>
        </w:rPr>
      </w:pPr>
    </w:p>
    <w:p w:rsidR="0029488F" w:rsidRPr="00886588" w:rsidRDefault="0029488F" w:rsidP="00886588">
      <w:pPr>
        <w:spacing w:after="240" w:line="276" w:lineRule="auto"/>
        <w:jc w:val="both"/>
        <w:rPr>
          <w:rFonts w:ascii="Times New Roman" w:hAnsi="Times New Roman" w:cs="Times New Roman"/>
          <w:b/>
        </w:rPr>
      </w:pPr>
    </w:p>
    <w:p w:rsidR="0029488F" w:rsidRPr="00EB1261" w:rsidRDefault="0029488F" w:rsidP="00EB1261">
      <w:pPr>
        <w:spacing w:after="24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488F" w:rsidRPr="00EB1261" w:rsidRDefault="00F0223E" w:rsidP="000617A9">
      <w:pPr>
        <w:spacing w:after="24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B1261">
        <w:rPr>
          <w:rFonts w:ascii="Times New Roman" w:hAnsi="Times New Roman" w:cs="Times New Roman"/>
          <w:b/>
          <w:sz w:val="56"/>
          <w:szCs w:val="56"/>
        </w:rPr>
        <w:t>Krajowy plan dotyc</w:t>
      </w:r>
      <w:r w:rsidR="00743E20" w:rsidRPr="00EB1261">
        <w:rPr>
          <w:rFonts w:ascii="Times New Roman" w:hAnsi="Times New Roman" w:cs="Times New Roman"/>
          <w:b/>
          <w:sz w:val="56"/>
          <w:szCs w:val="56"/>
        </w:rPr>
        <w:t xml:space="preserve">zący środków, jakie </w:t>
      </w:r>
      <w:r w:rsidR="0029488F" w:rsidRPr="00EB1261">
        <w:rPr>
          <w:rFonts w:ascii="Times New Roman" w:hAnsi="Times New Roman" w:cs="Times New Roman"/>
          <w:b/>
          <w:sz w:val="56"/>
          <w:szCs w:val="56"/>
        </w:rPr>
        <w:t xml:space="preserve">Polska </w:t>
      </w:r>
      <w:r w:rsidR="00743E20" w:rsidRPr="00EB1261">
        <w:rPr>
          <w:rFonts w:ascii="Times New Roman" w:hAnsi="Times New Roman" w:cs="Times New Roman"/>
          <w:b/>
          <w:sz w:val="56"/>
          <w:szCs w:val="56"/>
        </w:rPr>
        <w:t xml:space="preserve">zamierza wdrożyć </w:t>
      </w:r>
      <w:r w:rsidR="000617A9">
        <w:rPr>
          <w:rFonts w:ascii="Times New Roman" w:hAnsi="Times New Roman" w:cs="Times New Roman"/>
          <w:b/>
          <w:sz w:val="56"/>
          <w:szCs w:val="56"/>
        </w:rPr>
        <w:br/>
      </w:r>
      <w:r w:rsidR="00743E20" w:rsidRPr="00EB1261">
        <w:rPr>
          <w:rFonts w:ascii="Times New Roman" w:hAnsi="Times New Roman" w:cs="Times New Roman"/>
          <w:b/>
          <w:sz w:val="56"/>
          <w:szCs w:val="56"/>
        </w:rPr>
        <w:t>w celu stopniowego ograniczenia stosowania amalgamatu stomatologicznego</w:t>
      </w:r>
    </w:p>
    <w:p w:rsidR="0029488F" w:rsidRPr="00886588" w:rsidRDefault="0029488F" w:rsidP="0088658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886588">
        <w:rPr>
          <w:rFonts w:ascii="Times New Roman" w:hAnsi="Times New Roman" w:cs="Times New Roman"/>
        </w:rPr>
        <w:br w:type="page"/>
      </w:r>
    </w:p>
    <w:p w:rsidR="00DE2EA5" w:rsidRPr="00B34434" w:rsidRDefault="00DE2E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Spis streści:</w:t>
      </w:r>
    </w:p>
    <w:p w:rsidR="00DE2EA5" w:rsidRPr="00B34434" w:rsidRDefault="00DE2EA5" w:rsidP="00C15A4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>Wstęp</w:t>
      </w:r>
      <w:r w:rsidR="00C1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str. 3</w:t>
      </w:r>
    </w:p>
    <w:p w:rsidR="00DE2EA5" w:rsidRPr="00B34434" w:rsidRDefault="00DE2EA5" w:rsidP="00C15A4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 xml:space="preserve">Konwencja z </w:t>
      </w:r>
      <w:proofErr w:type="spellStart"/>
      <w:r w:rsidRPr="00B34434">
        <w:rPr>
          <w:rFonts w:ascii="Times New Roman" w:hAnsi="Times New Roman" w:cs="Times New Roman"/>
          <w:sz w:val="24"/>
          <w:szCs w:val="24"/>
        </w:rPr>
        <w:t>Minamaty</w:t>
      </w:r>
      <w:proofErr w:type="spellEnd"/>
      <w:r w:rsidR="00C1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str. 4</w:t>
      </w:r>
    </w:p>
    <w:p w:rsidR="00DE2EA5" w:rsidRPr="00B34434" w:rsidRDefault="00DE2EA5" w:rsidP="00C15A4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>Obowiązki wynikające z regulacji unijnych</w:t>
      </w:r>
      <w:r w:rsidR="00C1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str. 5</w:t>
      </w:r>
    </w:p>
    <w:p w:rsidR="00DE2EA5" w:rsidRPr="00B34434" w:rsidRDefault="00DE2EA5" w:rsidP="00C15A4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>Amalgamat jako odpad – skala zjawiska</w:t>
      </w:r>
      <w:r w:rsidR="00C1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str. 6</w:t>
      </w:r>
    </w:p>
    <w:p w:rsidR="00DE2EA5" w:rsidRPr="00B34434" w:rsidRDefault="00DE2EA5" w:rsidP="00C15A4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>Amalgamat stomatologiczny – koszty</w:t>
      </w:r>
      <w:r w:rsidR="00C1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str. 7</w:t>
      </w:r>
    </w:p>
    <w:p w:rsidR="00DE2EA5" w:rsidRPr="00B34434" w:rsidRDefault="00DE2EA5" w:rsidP="00C15A4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>Separatory amalgamatu</w:t>
      </w:r>
      <w:r w:rsidR="00C1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str. 7</w:t>
      </w:r>
    </w:p>
    <w:p w:rsidR="00DE2EA5" w:rsidRDefault="00DE2EA5" w:rsidP="00C15A4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>Konieczne do podjęcia działania</w:t>
      </w:r>
      <w:r w:rsidR="00C15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str. 8</w:t>
      </w:r>
    </w:p>
    <w:p w:rsidR="00C15A47" w:rsidRPr="00C15A47" w:rsidRDefault="00C15A47" w:rsidP="00C15A47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DE2EA5" w:rsidRPr="00C15A47" w:rsidRDefault="00DE2EA5" w:rsidP="00C15A4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A47">
        <w:rPr>
          <w:rFonts w:ascii="Times New Roman" w:hAnsi="Times New Roman" w:cs="Times New Roman"/>
          <w:sz w:val="24"/>
          <w:szCs w:val="24"/>
        </w:rPr>
        <w:t>Działania na rzecz wycofywania amalgamatu – tabela</w:t>
      </w:r>
      <w:r w:rsidR="00C15A47" w:rsidRPr="00C15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EA5" w:rsidRPr="00B34434" w:rsidRDefault="00DE2EA5" w:rsidP="00C15A4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34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E2EA5" w:rsidRPr="00B34434" w:rsidRDefault="00DE2EA5" w:rsidP="00DE2EA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523" w:rsidRPr="00B34434" w:rsidRDefault="006A1523" w:rsidP="0088658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34">
        <w:rPr>
          <w:rFonts w:ascii="Times New Roman" w:hAnsi="Times New Roman" w:cs="Times New Roman"/>
          <w:b/>
          <w:sz w:val="24"/>
          <w:szCs w:val="24"/>
          <w:u w:val="single"/>
        </w:rPr>
        <w:t>Wstęp</w:t>
      </w:r>
    </w:p>
    <w:p w:rsidR="00261836" w:rsidRPr="00B34434" w:rsidRDefault="006A1523" w:rsidP="00886588">
      <w:pPr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 xml:space="preserve">Generalnym celem krajowego planu jest </w:t>
      </w:r>
      <w:r w:rsidR="006A6A4D" w:rsidRPr="00B34434">
        <w:rPr>
          <w:rFonts w:ascii="Times New Roman" w:hAnsi="Times New Roman" w:cs="Times New Roman"/>
          <w:sz w:val="24"/>
          <w:szCs w:val="24"/>
        </w:rPr>
        <w:t>podjęcie działań zmierzających do osiągnięcia długoterminowego celu, jakim jest zapewnienie nietoksycznego środowiska naturalnego oraz wprowadzenie rozwiązań prawnych mających na celu minimalizację negatywnych skutków stosowania rtęci dla zdrowia ludzkiego i dla środowiska, w szczególności ograniczenie stosowania amalgamatu stomatologicznego do poziomu wynikającego z ustawodawstwa unijnego.</w:t>
      </w:r>
      <w:r w:rsidR="00383761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6F0C" w:rsidRPr="00B34434" w:rsidRDefault="00646F0C" w:rsidP="00646F0C">
      <w:pPr>
        <w:pStyle w:val="NormalnyWeb"/>
        <w:spacing w:line="276" w:lineRule="auto"/>
        <w:jc w:val="both"/>
      </w:pPr>
      <w:r w:rsidRPr="00B34434">
        <w:t xml:space="preserve">Zgodnie z danymi z Programu Środowiskowego Narodów Zjednoczonych (UNEP), zużycie amalgamatu stomatologicznego do plomb stanowi  od 313 do 411 ton rtęci rocznie w skali światowej. Oznacza to, że stomatologia jest jednym z największych konsumentów rtęci na świecie. Zapotrzebowanie na rtęć w dentystyce jest większe niż popyt na ten pierwiastek </w:t>
      </w:r>
      <w:r w:rsidR="00C15A47">
        <w:br/>
      </w:r>
      <w:r w:rsidRPr="00B34434">
        <w:t>w innych produktach – więcej niż w oświetleniu (120-150 ton), niż w urządzeniach pomiarowych (300-350 ton) i urządzeniach elektrycznych (170-210 ton). Chociaż z innych produktów zawierających rtęć jest ona stopniowo wycofywana, to amalgamat stomatologiczny staje się największym źródłem zanieczyszczenia rtęcią pochodzącą z produktów w skali globalnej.</w:t>
      </w:r>
    </w:p>
    <w:p w:rsidR="00646F0C" w:rsidRPr="00B34434" w:rsidRDefault="00646F0C" w:rsidP="00646F0C">
      <w:pPr>
        <w:pStyle w:val="NormalnyWeb"/>
        <w:spacing w:line="276" w:lineRule="auto"/>
        <w:jc w:val="both"/>
      </w:pPr>
      <w:r w:rsidRPr="00B34434">
        <w:t xml:space="preserve">Zanieczyszczenia rtęcią w dentystyce stanowią istotny problem również w Europie. Zgodnie </w:t>
      </w:r>
      <w:r w:rsidR="00C15A47">
        <w:br/>
      </w:r>
      <w:r w:rsidRPr="00B34434">
        <w:t>z wydanym w lipcu 201</w:t>
      </w:r>
      <w:r w:rsidR="00F730A1" w:rsidRPr="00B34434">
        <w:t>2 raportem BIO Intelligence Serv</w:t>
      </w:r>
      <w:r w:rsidRPr="00B34434">
        <w:t>ice</w:t>
      </w:r>
      <w:r w:rsidR="00F730A1" w:rsidRPr="00B34434">
        <w:t xml:space="preserve"> </w:t>
      </w:r>
      <w:r w:rsidRPr="00B34434">
        <w:t>(BIOIS)</w:t>
      </w:r>
      <w:r w:rsidR="00474EC9" w:rsidRPr="00B34434">
        <w:rPr>
          <w:rStyle w:val="Odwoanieprzypisudolnego"/>
        </w:rPr>
        <w:footnoteReference w:id="1"/>
      </w:r>
      <w:r w:rsidRPr="00B34434">
        <w:rPr>
          <w:i/>
          <w:iCs/>
        </w:rPr>
        <w:t>:</w:t>
      </w:r>
      <w:r w:rsidRPr="00B34434">
        <w:t xml:space="preserve"> </w:t>
      </w:r>
      <w:r w:rsidRPr="00B34434">
        <w:rPr>
          <w:i/>
          <w:iCs/>
        </w:rPr>
        <w:t xml:space="preserve">„Amalgamat stomatologiczny pozostaje jednym z największych źródeł zapotrzebowania na rtęć w Unii Europejskiej. W 2007 produkcja amalgamatu stomatologicznego była na drugim miejscu pod względem zużycia rtęci w UE, zaraz po wytwarzaniu związków </w:t>
      </w:r>
      <w:proofErr w:type="spellStart"/>
      <w:r w:rsidRPr="00B34434">
        <w:rPr>
          <w:i/>
          <w:iCs/>
        </w:rPr>
        <w:t>chloroalkalicznych</w:t>
      </w:r>
      <w:proofErr w:type="spellEnd"/>
      <w:r w:rsidRPr="00B34434">
        <w:rPr>
          <w:i/>
          <w:iCs/>
        </w:rPr>
        <w:t>”( których produkcja do 2020r ma być w UE jest wycofywana).</w:t>
      </w:r>
      <w:r w:rsidRPr="00B34434">
        <w:t xml:space="preserve"> Ocenia się, że amalgamat stomatologiczny stanowi w UE 21-32% całościowej emisji rtęci do powietrza oraz aż 9-13% całkowitej emisji rtęci do wód powierzchniowych.</w:t>
      </w:r>
    </w:p>
    <w:p w:rsidR="00646F0C" w:rsidRPr="00B34434" w:rsidRDefault="00646F0C" w:rsidP="009A6A6D">
      <w:pPr>
        <w:pStyle w:val="NormalnyWeb"/>
        <w:spacing w:before="0" w:beforeAutospacing="0" w:after="240" w:afterAutospacing="0" w:line="276" w:lineRule="auto"/>
        <w:contextualSpacing/>
        <w:jc w:val="both"/>
      </w:pPr>
      <w:r w:rsidRPr="00B34434">
        <w:t>Większość rtęci stomatologicznej nie jest wychwytywana przez separatory w klinikach dentystycznych – rtęć jest wynoszona z klinik w ludzkich zębach. W ten sposób rtęć stomatologiczna dostaje się do środowiska różnymi niekontrolowanymi ścieżkami. Dla przykładu, rtęć stomatologiczna zanieczyszcza:</w:t>
      </w:r>
    </w:p>
    <w:p w:rsidR="00646F0C" w:rsidRPr="00B34434" w:rsidRDefault="00646F0C" w:rsidP="009A6A6D">
      <w:pPr>
        <w:pStyle w:val="NormalnyWeb"/>
        <w:spacing w:before="0" w:beforeAutospacing="0" w:after="240" w:afterAutospacing="0" w:line="276" w:lineRule="auto"/>
        <w:contextualSpacing/>
        <w:jc w:val="both"/>
      </w:pPr>
      <w:r w:rsidRPr="00B34434">
        <w:t>–wodę poprzez ścieki z klinik dentystycznych i odpady</w:t>
      </w:r>
    </w:p>
    <w:p w:rsidR="00646F0C" w:rsidRPr="00B34434" w:rsidRDefault="00646F0C" w:rsidP="009A6A6D">
      <w:pPr>
        <w:pStyle w:val="NormalnyWeb"/>
        <w:spacing w:before="0" w:beforeAutospacing="0" w:after="240" w:afterAutospacing="0" w:line="276" w:lineRule="auto"/>
        <w:contextualSpacing/>
        <w:jc w:val="both"/>
      </w:pPr>
      <w:r w:rsidRPr="00B34434">
        <w:t>–powietrze poprzez kremację, emisje z klinik dentystycznych, spalanie osadów ściekowych, oddychanie</w:t>
      </w:r>
    </w:p>
    <w:p w:rsidR="009A6A6D" w:rsidRPr="00B34434" w:rsidRDefault="00646F0C" w:rsidP="009A6A6D">
      <w:pPr>
        <w:pStyle w:val="NormalnyWeb"/>
        <w:spacing w:before="0" w:beforeAutospacing="0" w:after="240" w:afterAutospacing="0" w:line="276" w:lineRule="auto"/>
        <w:jc w:val="both"/>
      </w:pPr>
      <w:r w:rsidRPr="00B34434">
        <w:t>–grunty przez składowanie odpadów, pochówki, nawozy.</w:t>
      </w:r>
    </w:p>
    <w:p w:rsidR="001A5DA5" w:rsidRPr="00C15A47" w:rsidRDefault="00646F0C" w:rsidP="00C15A47">
      <w:pPr>
        <w:pStyle w:val="NormalnyWeb"/>
        <w:spacing w:before="0" w:beforeAutospacing="0" w:after="240" w:afterAutospacing="0" w:line="276" w:lineRule="auto"/>
        <w:jc w:val="both"/>
      </w:pPr>
      <w:r w:rsidRPr="00B34434">
        <w:t xml:space="preserve">Raz obecna w środowisku rtęć stomatologiczna może się przekształcić w jeszcze bardziej toksyczną formę – </w:t>
      </w:r>
      <w:proofErr w:type="spellStart"/>
      <w:r w:rsidRPr="00B34434">
        <w:t>metylortęć</w:t>
      </w:r>
      <w:proofErr w:type="spellEnd"/>
      <w:r w:rsidRPr="00B34434">
        <w:t xml:space="preserve">. </w:t>
      </w:r>
      <w:r w:rsidRPr="00B34434">
        <w:rPr>
          <w:bCs/>
        </w:rPr>
        <w:t xml:space="preserve">Skutki zdrowotne obecności rtęci stomatologicznej </w:t>
      </w:r>
      <w:r w:rsidR="00C15A47">
        <w:rPr>
          <w:bCs/>
        </w:rPr>
        <w:br/>
      </w:r>
      <w:r w:rsidRPr="00B34434">
        <w:rPr>
          <w:bCs/>
        </w:rPr>
        <w:t xml:space="preserve">w środowisku to uszkodzenie mózgu, problemy neurologiczne, szczególnie niebezpieczne </w:t>
      </w:r>
      <w:r w:rsidR="00C15A47">
        <w:rPr>
          <w:bCs/>
        </w:rPr>
        <w:br/>
      </w:r>
      <w:r w:rsidRPr="00B34434">
        <w:rPr>
          <w:bCs/>
        </w:rPr>
        <w:t>w przypadku dzieci i kobiet w ciąży oraz płodów</w:t>
      </w:r>
      <w:r w:rsidR="00C15A47">
        <w:t>.</w:t>
      </w:r>
    </w:p>
    <w:p w:rsidR="00383761" w:rsidRPr="00B34434" w:rsidRDefault="006909D7" w:rsidP="00886588">
      <w:pPr>
        <w:spacing w:after="24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344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Konwencja z </w:t>
      </w:r>
      <w:proofErr w:type="spellStart"/>
      <w:r w:rsidRPr="00B34434">
        <w:rPr>
          <w:rFonts w:ascii="Times New Roman" w:hAnsi="Times New Roman" w:cs="Times New Roman"/>
          <w:b/>
          <w:sz w:val="24"/>
          <w:szCs w:val="24"/>
          <w:u w:val="single"/>
        </w:rPr>
        <w:t>Minamaty</w:t>
      </w:r>
      <w:proofErr w:type="spellEnd"/>
      <w:r w:rsidRPr="00B34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F33CA" w:rsidRPr="00B34434" w:rsidRDefault="009F33CA" w:rsidP="00886588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Konwencja z </w:t>
      </w:r>
      <w:proofErr w:type="spellStart"/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Minamaty</w:t>
      </w:r>
      <w:proofErr w:type="spellEnd"/>
      <w:r w:rsidR="00AE78EE" w:rsidRPr="00B3443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rtęci - zawarta pod auspicjami </w:t>
      </w:r>
      <w:hyperlink r:id="rId8" w:history="1">
        <w:r w:rsidRPr="00B344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Programu Narodów Zjednoczonych ds. Ochrony Środowiska</w:t>
        </w:r>
      </w:hyperlink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ustanawia międzynarodowy zestaw przepisów dotyczących współpracy i środków mających na celu ograniczenie stosowania rtęci i jej związków. Ponadto jego celem jest kontrola i redukcja antropogenicznych emisji </w:t>
      </w:r>
      <w:r w:rsidR="00C15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(tj. wynikających z wpływu człowieka lub z nim związanych) rtęci i związków rtęci do atmosfery, wody i gruntu.</w:t>
      </w:r>
    </w:p>
    <w:p w:rsidR="009F33CA" w:rsidRPr="00B34434" w:rsidRDefault="009F33CA" w:rsidP="00886588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obejmuje cały cykl życia rtęci. Zawiera artykuły, które wprowadzają:</w:t>
      </w:r>
    </w:p>
    <w:p w:rsidR="009F33CA" w:rsidRPr="00B34434" w:rsidRDefault="009F33CA" w:rsidP="00E4290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otwierania nowych kopalni rtęci i wycofywanie istniejących;</w:t>
      </w:r>
    </w:p>
    <w:p w:rsidR="009F33CA" w:rsidRPr="00B34434" w:rsidRDefault="009F33CA" w:rsidP="00E4290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w międzynarodowym handlu rtęcią;</w:t>
      </w:r>
    </w:p>
    <w:p w:rsidR="009F33CA" w:rsidRPr="00B34434" w:rsidRDefault="009F33CA" w:rsidP="00E4290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kontroli emisji i uwolnień;</w:t>
      </w:r>
    </w:p>
    <w:p w:rsidR="009F33CA" w:rsidRPr="00B34434" w:rsidRDefault="009F33CA" w:rsidP="00E4290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zakazujące produkcji, przywozu lub wywozu szeregu produktów z dodatkiem rtęci;</w:t>
      </w:r>
    </w:p>
    <w:p w:rsidR="009F33CA" w:rsidRPr="00B34434" w:rsidRDefault="009F33CA" w:rsidP="00E4290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mające na celu wycofanie stosowania rtęci w kluczowych procesach produkcyjnych;</w:t>
      </w:r>
    </w:p>
    <w:p w:rsidR="009F33CA" w:rsidRPr="00B34434" w:rsidRDefault="009F33CA" w:rsidP="00E4290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mające na celu wycofanie z użytku amalgamatu stomatologicznego;</w:t>
      </w:r>
    </w:p>
    <w:p w:rsidR="009F33CA" w:rsidRPr="00B34434" w:rsidRDefault="009F33CA" w:rsidP="00E4290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mające na celu zmniejszenie emisji rtęci z wydobycia i przetwarzania złota tradycyjnego i na małą skalę;</w:t>
      </w:r>
    </w:p>
    <w:p w:rsidR="009F33CA" w:rsidRPr="00B34434" w:rsidRDefault="009F33CA" w:rsidP="00E4290E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mające na celu zapewnienie składowania przejściowego rtęci i związków rtęci </w:t>
      </w:r>
      <w:r w:rsidR="00C15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434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bezpieczny dla środowiska i unieszkodliwiania odpadów rtęciowych w sposób bezpieczny dla środowiska.</w:t>
      </w:r>
    </w:p>
    <w:p w:rsidR="00261836" w:rsidRPr="00B34434" w:rsidRDefault="00184B3D" w:rsidP="00886588">
      <w:pPr>
        <w:pStyle w:val="NormalnyWeb"/>
        <w:spacing w:before="0" w:beforeAutospacing="0" w:after="240" w:afterAutospacing="0" w:line="276" w:lineRule="auto"/>
        <w:jc w:val="both"/>
      </w:pPr>
      <w:r w:rsidRPr="00B34434">
        <w:t xml:space="preserve">Tekst Konwencji został uzgodniony w styczniu 2013 r. w Genewie, na forum Międzyrządowego Komitetu Negocjacyjnego. </w:t>
      </w:r>
      <w:r w:rsidR="009F33CA" w:rsidRPr="00B34434">
        <w:t>Konwencję podpisały m.in</w:t>
      </w:r>
      <w:r w:rsidRPr="00B34434">
        <w:t xml:space="preserve"> Stany Zjednoczone, Kanada, Australia, Chiny, Japonia, państwa Ameryki Łacińskiej, część państw kontynentu afrykańskiego, prawie wszystkie państwa członkowskie Unii Europejskiej. Dokument w</w:t>
      </w:r>
      <w:r w:rsidR="009F33CA" w:rsidRPr="00B34434">
        <w:t>szedł</w:t>
      </w:r>
      <w:r w:rsidRPr="00B34434">
        <w:t xml:space="preserve"> w życie </w:t>
      </w:r>
      <w:r w:rsidR="001A5DA5" w:rsidRPr="00B34434">
        <w:t>16 sierpnia 2017 r.,</w:t>
      </w:r>
      <w:r w:rsidR="009F33CA" w:rsidRPr="00B34434">
        <w:t xml:space="preserve"> </w:t>
      </w:r>
      <w:r w:rsidRPr="00B34434">
        <w:t xml:space="preserve">po jego ratyfikowaniu przez co najmniej 50 krajów, które podpisały Konwencję. </w:t>
      </w:r>
    </w:p>
    <w:p w:rsidR="009F33CA" w:rsidRPr="00B34434" w:rsidRDefault="00261836" w:rsidP="00886588">
      <w:pPr>
        <w:pStyle w:val="NormalnyWeb"/>
        <w:spacing w:before="0" w:beforeAutospacing="0" w:after="240" w:afterAutospacing="0" w:line="276" w:lineRule="auto"/>
        <w:jc w:val="both"/>
      </w:pPr>
      <w:r w:rsidRPr="00B34434">
        <w:t xml:space="preserve">Rtęć jest wciąż stosowana w stomatologii jako materiał </w:t>
      </w:r>
      <w:proofErr w:type="spellStart"/>
      <w:r w:rsidRPr="00B34434">
        <w:t>wypełnieniowy</w:t>
      </w:r>
      <w:proofErr w:type="spellEnd"/>
      <w:r w:rsidRPr="00B34434">
        <w:t xml:space="preserve">, mimo że istnieją na rynku materiały alternatywne. Jest ona </w:t>
      </w:r>
      <w:proofErr w:type="spellStart"/>
      <w:r w:rsidRPr="00B34434">
        <w:t>neurotoksyną</w:t>
      </w:r>
      <w:proofErr w:type="spellEnd"/>
      <w:r w:rsidRPr="00B34434">
        <w:t xml:space="preserve"> uszkadzającą układ nerwowy, sercowo-naczyniowy i inne. Biorąc pod uwagę, że amalgamat dentystyczny w 50% składa się z rtęci, Konwencja z </w:t>
      </w:r>
      <w:proofErr w:type="spellStart"/>
      <w:r w:rsidRPr="00B34434">
        <w:t>Minamaty</w:t>
      </w:r>
      <w:proofErr w:type="spellEnd"/>
      <w:r w:rsidRPr="00B34434">
        <w:t xml:space="preserve"> dotycząca rtęci wymaga od każdego państwa, które przystąpiło do konwencji ograniczenia użycia tego </w:t>
      </w:r>
      <w:r w:rsidR="001A5DA5" w:rsidRPr="00B34434">
        <w:t>niebezpiecznego</w:t>
      </w:r>
      <w:r w:rsidRPr="00B34434">
        <w:t xml:space="preserve"> metalu ciężkiego.</w:t>
      </w:r>
    </w:p>
    <w:p w:rsidR="00881CB3" w:rsidRPr="00B34434" w:rsidRDefault="00881CB3" w:rsidP="00886588">
      <w:pPr>
        <w:pStyle w:val="NormalnyWeb"/>
        <w:spacing w:before="0" w:beforeAutospacing="0" w:after="240" w:afterAutospacing="0" w:line="276" w:lineRule="auto"/>
        <w:jc w:val="both"/>
      </w:pPr>
      <w:r w:rsidRPr="00B34434">
        <w:t xml:space="preserve">Konwencja z </w:t>
      </w:r>
      <w:proofErr w:type="spellStart"/>
      <w:r w:rsidRPr="00B34434">
        <w:t>Minamaty</w:t>
      </w:r>
      <w:proofErr w:type="spellEnd"/>
      <w:r w:rsidRPr="00B34434">
        <w:t xml:space="preserve"> przewiduje, że każda ze stron, które związały się Konwencją, podejmie co najmniej dwa spośród dziewięciu wskazanych w Konwencji środków w celu zmniejszenia stosowania amalgamatu stomatologicznego. Wybierając te środki strony mają uwzględniać swoje własne krajowe warunki, ponieważ różnice pomiędzy państwami członkowskimi co do stosowania amalgamatu stomatologicznego, jego ilości, organizacji systemu opieki </w:t>
      </w:r>
      <w:r w:rsidRPr="00B34434">
        <w:lastRenderedPageBreak/>
        <w:t xml:space="preserve">stomatologicznej i poziomu jej finansowania są nadal znaczące – w niektórych państwach stosowanie amalgamatu stomatologicznego jest w ogóle zakazane (np. w Szwecji), </w:t>
      </w:r>
      <w:r w:rsidR="00C15A47">
        <w:br/>
      </w:r>
      <w:r w:rsidRPr="00B34434">
        <w:t>a w niektórych znacznie ograniczone.</w:t>
      </w:r>
    </w:p>
    <w:p w:rsidR="00881CB3" w:rsidRPr="00B34434" w:rsidRDefault="00881CB3" w:rsidP="00886588">
      <w:pPr>
        <w:pStyle w:val="NormalnyWeb"/>
        <w:spacing w:before="0" w:beforeAutospacing="0" w:after="240" w:afterAutospacing="0" w:line="276" w:lineRule="auto"/>
        <w:jc w:val="both"/>
      </w:pPr>
      <w:r w:rsidRPr="00B34434">
        <w:t xml:space="preserve">Środki wymienione w Konwencji z </w:t>
      </w:r>
      <w:proofErr w:type="spellStart"/>
      <w:r w:rsidRPr="00B34434">
        <w:t>Minamaty</w:t>
      </w:r>
      <w:proofErr w:type="spellEnd"/>
      <w:r w:rsidRPr="00B34434">
        <w:t xml:space="preserve"> służące ograniczeniu stosowania</w:t>
      </w:r>
      <w:r w:rsidR="0010140B" w:rsidRPr="00B34434">
        <w:t xml:space="preserve"> amalgamatu to m.in.: </w:t>
      </w:r>
      <w:r w:rsidRPr="00B34434">
        <w:t>stosowaniu amalgamatu stomatologicznego wyłącznie w formie kapsułkowanej</w:t>
      </w:r>
      <w:r w:rsidR="0010140B" w:rsidRPr="00B34434">
        <w:t xml:space="preserve">, </w:t>
      </w:r>
      <w:r w:rsidRPr="00B34434">
        <w:t>obowiązkowe wyposażenie wszystkich gabinetów stomatologicznych w separatory amalgamatu</w:t>
      </w:r>
      <w:r w:rsidR="0010140B" w:rsidRPr="00B34434">
        <w:t xml:space="preserve">, </w:t>
      </w:r>
      <w:r w:rsidRPr="00B34434">
        <w:t>promowanie alternatywnych do amalgamatów materiałów do wypełnień i badania naukowe w zakresie ty</w:t>
      </w:r>
      <w:r w:rsidR="0010140B" w:rsidRPr="00B34434">
        <w:t>ch materiałów, promocja zdrowia.</w:t>
      </w:r>
    </w:p>
    <w:p w:rsidR="00B93FD7" w:rsidRPr="00B34434" w:rsidRDefault="00261836" w:rsidP="0088658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W dniu 17 maja 2017 r. </w:t>
      </w:r>
      <w:r w:rsidR="00AA7575" w:rsidRPr="00B3443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nia Europejska</w:t>
      </w:r>
      <w:r w:rsidR="00AA7575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przyjęła </w:t>
      </w:r>
      <w:hyperlink r:id="rId9" w:history="1">
        <w:r w:rsidR="00AA7575" w:rsidRPr="00B3443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rozporządzenie (UE) 2017/852</w:t>
        </w:r>
      </w:hyperlink>
      <w:r w:rsidRPr="00B34434">
        <w:rPr>
          <w:rFonts w:ascii="Times New Roman" w:hAnsi="Times New Roman" w:cs="Times New Roman"/>
          <w:i/>
          <w:sz w:val="24"/>
          <w:szCs w:val="24"/>
        </w:rPr>
        <w:t xml:space="preserve"> w sprawie rtęci oraz uchylającego rozporządzenie (WE) nr 1102/2008</w:t>
      </w:r>
      <w:r w:rsidRPr="00B34434">
        <w:rPr>
          <w:rFonts w:ascii="Times New Roman" w:hAnsi="Times New Roman" w:cs="Times New Roman"/>
          <w:sz w:val="24"/>
          <w:szCs w:val="24"/>
        </w:rPr>
        <w:t xml:space="preserve"> (Dz.U. UE z 24.05.2017 r., L 137/1)</w:t>
      </w:r>
      <w:r w:rsidR="00EE4B44" w:rsidRPr="00B344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AA7575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w celu umożliwienia państwom członkowskim wdrożenia konwencji. </w:t>
      </w:r>
      <w:r w:rsidR="00FC2996" w:rsidRPr="00B34434">
        <w:rPr>
          <w:rFonts w:ascii="Times New Roman" w:hAnsi="Times New Roman" w:cs="Times New Roman"/>
          <w:sz w:val="24"/>
          <w:szCs w:val="24"/>
        </w:rPr>
        <w:t>Polskę jako państwo członkowskie Unii</w:t>
      </w:r>
      <w:r w:rsidRPr="00B34434">
        <w:rPr>
          <w:rFonts w:ascii="Times New Roman" w:hAnsi="Times New Roman" w:cs="Times New Roman"/>
          <w:sz w:val="24"/>
          <w:szCs w:val="24"/>
        </w:rPr>
        <w:t xml:space="preserve"> Europejskiej rozporządzenie to obowiązuje wprost. </w:t>
      </w:r>
    </w:p>
    <w:p w:rsidR="008773F0" w:rsidRPr="00B34434" w:rsidRDefault="008773F0" w:rsidP="0088658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3F0" w:rsidRPr="00B34434" w:rsidRDefault="007C1142" w:rsidP="0088658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34">
        <w:rPr>
          <w:rFonts w:ascii="Times New Roman" w:hAnsi="Times New Roman" w:cs="Times New Roman"/>
          <w:b/>
          <w:sz w:val="24"/>
          <w:szCs w:val="24"/>
          <w:u w:val="single"/>
        </w:rPr>
        <w:t>Obowiązki wynikające z regulacji unijnych</w:t>
      </w:r>
    </w:p>
    <w:p w:rsidR="0029488F" w:rsidRPr="00B34434" w:rsidRDefault="0029488F" w:rsidP="0088658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 xml:space="preserve">Zgodnie z art. 10 rozporządzenia z dnia 17 maja 2017 r. </w:t>
      </w:r>
      <w:r w:rsidRPr="00B34434">
        <w:rPr>
          <w:rFonts w:ascii="Times New Roman" w:hAnsi="Times New Roman" w:cs="Times New Roman"/>
          <w:i/>
          <w:sz w:val="24"/>
          <w:szCs w:val="24"/>
        </w:rPr>
        <w:t>w sprawie rtęci oraz uchylającego rozporządzenie (WE) nr 1102/2008 od dnia 1 lipca 2018 r.</w:t>
      </w:r>
      <w:r w:rsidRPr="00B34434">
        <w:rPr>
          <w:rFonts w:ascii="Times New Roman" w:hAnsi="Times New Roman" w:cs="Times New Roman"/>
          <w:sz w:val="24"/>
          <w:szCs w:val="24"/>
        </w:rPr>
        <w:t xml:space="preserve"> nie można stosować amalgamatu stomatologicznego w leczeniu zębów mlecznych w leczeniu stomatologicznym dzieci w wieku poniżej 15 lat oraz kobiet ciężarnych lub karmiących. Ten sam środek, zgodnie w ww. rozporządzeniem od dnia 1 stycznia 2019 r. może być stosowany wyłącznie w formie kapsułkowanej w odmierzonej dawce, zaś forma niekapsułkowana zostaje zakazana do stosowania przez lekarzy dentystów.</w:t>
      </w:r>
    </w:p>
    <w:p w:rsidR="0029488F" w:rsidRDefault="0029488F" w:rsidP="0088658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 xml:space="preserve">Od 1 stycznia bieżącego roku zgodnie z ww. rozporządzeniem podmioty prowadzące gabinety stomatologiczne, w których stosowany jest amalgamat stomatologiczny lub w których usuwane są wypełnienia z amalgamatu stomatologicznego lub zęby zawierające takie wypełnienia, zapewniają wyposażenie gabinetów w separatory amalgamatu do celów zatrzymywania </w:t>
      </w:r>
      <w:r w:rsidR="00C15A47">
        <w:rPr>
          <w:rFonts w:ascii="Times New Roman" w:hAnsi="Times New Roman" w:cs="Times New Roman"/>
          <w:sz w:val="24"/>
          <w:szCs w:val="24"/>
        </w:rPr>
        <w:br/>
      </w:r>
      <w:r w:rsidRPr="00B34434">
        <w:rPr>
          <w:rFonts w:ascii="Times New Roman" w:hAnsi="Times New Roman" w:cs="Times New Roman"/>
          <w:sz w:val="24"/>
          <w:szCs w:val="24"/>
        </w:rPr>
        <w:t>i zbierania cząstek amalgamatu, w tym również cząstek znajdujących się w zużytej wodzie. Zgodnie z przyjętą przez resort zdrowia i resort środowiska zasadą w separatory nie będą musiały być wyposażone gabinety, w których ww. procedury nie są wykonywane lub w których nie wykorzystuje się amalgamatu w świadczeniu usług stomatologicznych, np. gabinety ortodontyczne czy protetyczne. W dużych wielostanowiskowych podmiotach realizujących świadczenia stomatologiczne wystarczy, że w urządzenie będzie wyposażone co najmniej jedno stanowisko dentystyczne.</w:t>
      </w:r>
    </w:p>
    <w:p w:rsidR="00243476" w:rsidRPr="00B34434" w:rsidRDefault="00243476" w:rsidP="0088658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styczniu 2019 r. Ministerstwo Środowiska wystosowało w tej kwestii komunikat skierowany do Komisji Stomatologicznej Naczelnej Rady Lekarskiej, informując o swoim stanowisku i obowiązkach wynikających z rozporządzenia. </w:t>
      </w:r>
    </w:p>
    <w:p w:rsidR="0029488F" w:rsidRPr="00B34434" w:rsidRDefault="0029488F" w:rsidP="0088658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lastRenderedPageBreak/>
        <w:t>Stosownie do postanowień art. 10 ust. 6 ww. rozporządzenia odpady amalgamatu, w tym również pozostałości amalgamatu, jego cząstki, wypełnione wcześniej zęby, lub ich części, zanieczyszczone amalgamatem stomatologicznym powinny być przekazane do upoważnionego podmiotu specjalizującego się w gospodarowaniu odpadami (posiadającego zezwolenie na przetwarzanie lub zezwolenie na zbieranie tego rodzaju odpadów).</w:t>
      </w:r>
    </w:p>
    <w:p w:rsidR="00B84921" w:rsidRPr="00B34434" w:rsidRDefault="009D78B3" w:rsidP="0088658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 xml:space="preserve">Stosowanie amalgamatu stomatologicznego odpowiada za największe zużycie rtęci w Unii </w:t>
      </w:r>
      <w:r w:rsidR="00C15A47">
        <w:rPr>
          <w:rFonts w:ascii="Times New Roman" w:hAnsi="Times New Roman" w:cs="Times New Roman"/>
          <w:sz w:val="24"/>
          <w:szCs w:val="24"/>
        </w:rPr>
        <w:br/>
      </w:r>
      <w:r w:rsidRPr="00B34434">
        <w:rPr>
          <w:rFonts w:ascii="Times New Roman" w:hAnsi="Times New Roman" w:cs="Times New Roman"/>
          <w:sz w:val="24"/>
          <w:szCs w:val="24"/>
        </w:rPr>
        <w:t xml:space="preserve">i jest znaczącym </w:t>
      </w:r>
      <w:r w:rsidR="007C1142" w:rsidRPr="00B34434">
        <w:rPr>
          <w:rFonts w:ascii="Times New Roman" w:hAnsi="Times New Roman" w:cs="Times New Roman"/>
          <w:sz w:val="24"/>
          <w:szCs w:val="24"/>
        </w:rPr>
        <w:t>źródłem</w:t>
      </w:r>
      <w:r w:rsidR="001A5DA5" w:rsidRPr="00B34434">
        <w:rPr>
          <w:rFonts w:ascii="Times New Roman" w:hAnsi="Times New Roman" w:cs="Times New Roman"/>
          <w:sz w:val="24"/>
          <w:szCs w:val="24"/>
        </w:rPr>
        <w:t xml:space="preserve"> zanieczyszczenia. Dlatego też</w:t>
      </w:r>
      <w:r w:rsidRPr="00B34434">
        <w:rPr>
          <w:rFonts w:ascii="Times New Roman" w:hAnsi="Times New Roman" w:cs="Times New Roman"/>
          <w:sz w:val="24"/>
          <w:szCs w:val="24"/>
        </w:rPr>
        <w:t xml:space="preserve"> należy stopniowo ograniczać stosowanie amalgamatu stomatologicznego zgodnie z konwencją i planami k</w:t>
      </w:r>
      <w:r w:rsidR="007C1142" w:rsidRPr="00B34434">
        <w:rPr>
          <w:rFonts w:ascii="Times New Roman" w:hAnsi="Times New Roman" w:cs="Times New Roman"/>
          <w:sz w:val="24"/>
          <w:szCs w:val="24"/>
        </w:rPr>
        <w:t xml:space="preserve">rajowymi. Należy przyjąć szczególne profilaktyczne środki ochrony zdrowia w odniesieniu do podatnych na zagrożenia grup ludności, takich jak dzieci oraz kobiety ciężarne lub karmiące piersią. </w:t>
      </w:r>
    </w:p>
    <w:p w:rsidR="008773F0" w:rsidRPr="00B34434" w:rsidRDefault="008773F0" w:rsidP="0088658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142" w:rsidRPr="00B34434" w:rsidRDefault="00574976" w:rsidP="0088658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34">
        <w:rPr>
          <w:rFonts w:ascii="Times New Roman" w:hAnsi="Times New Roman" w:cs="Times New Roman"/>
          <w:b/>
          <w:sz w:val="24"/>
          <w:szCs w:val="24"/>
          <w:u w:val="single"/>
        </w:rPr>
        <w:t>Amalgamat</w:t>
      </w:r>
      <w:r w:rsidR="00325301" w:rsidRPr="00B34434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jako odpad – skala zjawiska</w:t>
      </w:r>
    </w:p>
    <w:p w:rsidR="00325301" w:rsidRPr="00B34434" w:rsidRDefault="00B34E26" w:rsidP="0088658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 xml:space="preserve">Badaniem GUS dotyczącym odpadów (formularz OS-6 „Sprawozdanie o odpadach”) nie są objęte pomioty prowadzące gabinety stomatologiczne. Zgodnie bowiem z zapisami </w:t>
      </w:r>
      <w:r w:rsidR="00C15A47">
        <w:rPr>
          <w:rFonts w:ascii="Times New Roman" w:hAnsi="Times New Roman" w:cs="Times New Roman"/>
          <w:sz w:val="24"/>
          <w:szCs w:val="24"/>
        </w:rPr>
        <w:br/>
      </w:r>
      <w:r w:rsidRPr="00B34434">
        <w:rPr>
          <w:rFonts w:ascii="Times New Roman" w:hAnsi="Times New Roman" w:cs="Times New Roman"/>
          <w:sz w:val="24"/>
          <w:szCs w:val="24"/>
        </w:rPr>
        <w:t>w P</w:t>
      </w:r>
      <w:r w:rsidR="001A5DA5" w:rsidRPr="00B34434">
        <w:rPr>
          <w:rFonts w:ascii="Times New Roman" w:hAnsi="Times New Roman" w:cs="Times New Roman"/>
          <w:sz w:val="24"/>
          <w:szCs w:val="24"/>
        </w:rPr>
        <w:t xml:space="preserve">rogramie </w:t>
      </w:r>
      <w:r w:rsidRPr="00B34434">
        <w:rPr>
          <w:rFonts w:ascii="Times New Roman" w:hAnsi="Times New Roman" w:cs="Times New Roman"/>
          <w:sz w:val="24"/>
          <w:szCs w:val="24"/>
        </w:rPr>
        <w:t>B</w:t>
      </w:r>
      <w:r w:rsidR="001A5DA5" w:rsidRPr="00B34434">
        <w:rPr>
          <w:rFonts w:ascii="Times New Roman" w:hAnsi="Times New Roman" w:cs="Times New Roman"/>
          <w:sz w:val="24"/>
          <w:szCs w:val="24"/>
        </w:rPr>
        <w:t xml:space="preserve">adań </w:t>
      </w:r>
      <w:r w:rsidRPr="00B34434">
        <w:rPr>
          <w:rFonts w:ascii="Times New Roman" w:hAnsi="Times New Roman" w:cs="Times New Roman"/>
          <w:sz w:val="24"/>
          <w:szCs w:val="24"/>
        </w:rPr>
        <w:t>S</w:t>
      </w:r>
      <w:r w:rsidR="001A5DA5" w:rsidRPr="00B34434">
        <w:rPr>
          <w:rFonts w:ascii="Times New Roman" w:hAnsi="Times New Roman" w:cs="Times New Roman"/>
          <w:sz w:val="24"/>
          <w:szCs w:val="24"/>
        </w:rPr>
        <w:t xml:space="preserve">tatystycznych </w:t>
      </w:r>
      <w:r w:rsidRPr="00B34434">
        <w:rPr>
          <w:rFonts w:ascii="Times New Roman" w:hAnsi="Times New Roman" w:cs="Times New Roman"/>
          <w:sz w:val="24"/>
          <w:szCs w:val="24"/>
        </w:rPr>
        <w:t>S</w:t>
      </w:r>
      <w:r w:rsidR="001A5DA5" w:rsidRPr="00B34434">
        <w:rPr>
          <w:rFonts w:ascii="Times New Roman" w:hAnsi="Times New Roman" w:cs="Times New Roman"/>
          <w:sz w:val="24"/>
          <w:szCs w:val="24"/>
        </w:rPr>
        <w:t xml:space="preserve">tatystyki </w:t>
      </w:r>
      <w:r w:rsidRPr="00B34434">
        <w:rPr>
          <w:rFonts w:ascii="Times New Roman" w:hAnsi="Times New Roman" w:cs="Times New Roman"/>
          <w:sz w:val="24"/>
          <w:szCs w:val="24"/>
        </w:rPr>
        <w:t>P</w:t>
      </w:r>
      <w:r w:rsidR="001A5DA5" w:rsidRPr="00B34434">
        <w:rPr>
          <w:rFonts w:ascii="Times New Roman" w:hAnsi="Times New Roman" w:cs="Times New Roman"/>
          <w:sz w:val="24"/>
          <w:szCs w:val="24"/>
        </w:rPr>
        <w:t>ublicznej</w:t>
      </w:r>
      <w:r w:rsidRPr="00B34434">
        <w:rPr>
          <w:rFonts w:ascii="Times New Roman" w:hAnsi="Times New Roman" w:cs="Times New Roman"/>
          <w:sz w:val="24"/>
          <w:szCs w:val="24"/>
        </w:rPr>
        <w:t xml:space="preserve">, do składania sprawozdań OS-6 zobowiązane są jednostki (zakłady) wytwarzające w ciągu roku sumarycznie powyżej 1 tysiąca ton odpadów niebezpiecznych i innych niż niebezpieczne (z wyłączeniem odpadów komunalnych). Zakłady wytwarzające odpady medyczne nie spełniają tego kryterium sprawozdawczego, w związku z czym statystyki powstałe w oparciu o dane pozyskiwane </w:t>
      </w:r>
      <w:r w:rsidR="00C15A47">
        <w:rPr>
          <w:rFonts w:ascii="Times New Roman" w:hAnsi="Times New Roman" w:cs="Times New Roman"/>
          <w:sz w:val="24"/>
          <w:szCs w:val="24"/>
        </w:rPr>
        <w:br/>
      </w:r>
      <w:r w:rsidRPr="00B34434">
        <w:rPr>
          <w:rFonts w:ascii="Times New Roman" w:hAnsi="Times New Roman" w:cs="Times New Roman"/>
          <w:sz w:val="24"/>
          <w:szCs w:val="24"/>
        </w:rPr>
        <w:t xml:space="preserve">w ramach badania realizowanego na formularzu OS-6 nie zawierają informacji na temat odpadów o kodzie 18 01 10* - odpady amalgamatu dentystycznego. Dane na temat amalgamatu są dostępne w zasobach informacyjnych Ministerstwa Środowiska (Centralny System Odpadowy – CSO). Zgodnie z informacjami uzyskanymi przez GUS z ww. systemu CSO, </w:t>
      </w:r>
      <w:r w:rsidR="00C15A47">
        <w:rPr>
          <w:rFonts w:ascii="Times New Roman" w:hAnsi="Times New Roman" w:cs="Times New Roman"/>
          <w:sz w:val="24"/>
          <w:szCs w:val="24"/>
        </w:rPr>
        <w:br/>
      </w:r>
      <w:r w:rsidRPr="00B34434">
        <w:rPr>
          <w:rFonts w:ascii="Times New Roman" w:hAnsi="Times New Roman" w:cs="Times New Roman"/>
          <w:sz w:val="24"/>
          <w:szCs w:val="24"/>
        </w:rPr>
        <w:t>w 2016 r. ilość wytworzonych w kraju odpadów o kodzie 18 01 10* wyniosła 2,2136 tony.</w:t>
      </w:r>
    </w:p>
    <w:p w:rsidR="00325301" w:rsidRPr="00B34434" w:rsidRDefault="00325301" w:rsidP="00886588">
      <w:pPr>
        <w:tabs>
          <w:tab w:val="left" w:pos="7514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Zgodnie z art. 23 ustawy z dnia 14 grudnia 2012 r. </w:t>
      </w:r>
      <w:r w:rsidRPr="00B34434">
        <w:rPr>
          <w:rFonts w:ascii="Times New Roman" w:hAnsi="Times New Roman" w:cs="Times New Roman"/>
          <w:i/>
          <w:color w:val="000000"/>
          <w:sz w:val="24"/>
          <w:szCs w:val="24"/>
        </w:rPr>
        <w:t>o odpadach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(Dz. U. z 2019, poz. 701 i 730), odpady są zbierane w sposób selektywny, przy czym przepis ten dotyczy wszystkich rodzajów odpadów, w tym również odpadów amalgamatu dentystycznego (ex 18 01 10* Odpady amalgamatu dentystycznego).</w:t>
      </w:r>
    </w:p>
    <w:p w:rsidR="00325301" w:rsidRPr="00B34434" w:rsidRDefault="00325301" w:rsidP="00886588">
      <w:pPr>
        <w:tabs>
          <w:tab w:val="left" w:pos="7514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Natomiast </w:t>
      </w:r>
      <w:r w:rsidRPr="00B34434">
        <w:rPr>
          <w:rFonts w:ascii="Times New Roman" w:hAnsi="Times New Roman" w:cs="Times New Roman"/>
          <w:i/>
          <w:color w:val="000000"/>
          <w:sz w:val="24"/>
          <w:szCs w:val="24"/>
        </w:rPr>
        <w:t>Krajowy plan gospodarki odpadami 2022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, przyjęty przez Radę Ministrów uchwałą nr 88 z dnia 1 lipca 2016 r. (M.P. poz. 784), stanowi, że w gospodarce odpadami medycznymi i weterynaryjnymi przyjęto m. in. następujące cele: podnies</w:t>
      </w:r>
      <w:r w:rsidR="001A5DA5" w:rsidRPr="00B34434">
        <w:rPr>
          <w:rFonts w:ascii="Times New Roman" w:hAnsi="Times New Roman" w:cs="Times New Roman"/>
          <w:color w:val="000000"/>
          <w:sz w:val="24"/>
          <w:szCs w:val="24"/>
        </w:rPr>
        <w:t>ienie efektywności selektywnego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zbierania odpadów medycznych i weterynaryjnych, w tym segregacji odpadów u źródła powstawania, a także prowadzenie następujących działań informacyjno-edukacyjnych </w:t>
      </w:r>
      <w:r w:rsidR="00C15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w zakresie należytego postępowania z odpadami medycznymi i weterynaryjnymi, w tym segregacja u źródła powstawania czy też prowadzenie cyklicznych kontroli podmiotów wytwarzających odpady medyczne i weterynaryjne w zakresie zgodności postępowania </w:t>
      </w:r>
      <w:r w:rsidR="00C15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z obowiązującymi przepisami prawa.</w:t>
      </w:r>
    </w:p>
    <w:p w:rsidR="00325301" w:rsidRPr="00B34434" w:rsidRDefault="00325301" w:rsidP="00886588">
      <w:pPr>
        <w:tabs>
          <w:tab w:val="left" w:pos="7514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Niemniej jednak w przypadku odpadów medycznych i weterynaryjnych, w tym odpadów amalgamatu dentystycznego, trudno jest mówić o przewidywalności wytwarzania odpadów </w:t>
      </w:r>
      <w:r w:rsidR="00C15A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z tej grupy. Ponadto zastosowania nie znajdują działania dotyczące zapobieganiu powstawaniu odpadów.</w:t>
      </w:r>
    </w:p>
    <w:p w:rsidR="00325301" w:rsidRPr="00B34434" w:rsidRDefault="00325301" w:rsidP="00886588">
      <w:pPr>
        <w:tabs>
          <w:tab w:val="left" w:pos="7514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Aktami prawnymi obowiązującymi również w zakresie gospodarowania odpadami medycznymi są: rozporządzenie Ministra Zdrowia z dnia 5 października 2017 r. </w:t>
      </w:r>
      <w:r w:rsidRPr="00B34434">
        <w:rPr>
          <w:rFonts w:ascii="Times New Roman" w:hAnsi="Times New Roman" w:cs="Times New Roman"/>
          <w:i/>
          <w:color w:val="000000"/>
          <w:sz w:val="24"/>
          <w:szCs w:val="24"/>
        </w:rPr>
        <w:t>w sprawie szczegółowego sposobu postępowania z odpadami medycznymi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(Dz. U. poz. 1975) oraz rozporządzenie Ministra Zdrowia z dnia 21 października 2016 r. </w:t>
      </w:r>
      <w:r w:rsidRPr="00B344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sprawie wymagań </w:t>
      </w:r>
      <w:r w:rsidR="00F561C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B34434">
        <w:rPr>
          <w:rFonts w:ascii="Times New Roman" w:hAnsi="Times New Roman" w:cs="Times New Roman"/>
          <w:i/>
          <w:color w:val="000000"/>
          <w:sz w:val="24"/>
          <w:szCs w:val="24"/>
        </w:rPr>
        <w:t>i sposobów unieszkodliwiania odpadów medycznych i weterynaryjnych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(Dz. U. z 2018 r. poz. 1819). </w:t>
      </w:r>
    </w:p>
    <w:p w:rsidR="00325301" w:rsidRPr="00B34434" w:rsidRDefault="00325301" w:rsidP="00886588">
      <w:pPr>
        <w:tabs>
          <w:tab w:val="left" w:pos="7514"/>
        </w:tabs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Zgodnie z przepisami rozporządzenia z dnia 21 października 2016 r., dopuszczalnym sposobem unieszkodliwiania odpadów amalgamatu dentystycznego (z wyłączeniem odpadów </w:t>
      </w:r>
      <w:r w:rsidR="00F561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o właściwościach zakaźnych) </w:t>
      </w:r>
      <w:proofErr w:type="spellStart"/>
      <w:r w:rsidRPr="00B34434">
        <w:rPr>
          <w:rFonts w:ascii="Times New Roman" w:hAnsi="Times New Roman" w:cs="Times New Roman"/>
          <w:color w:val="000000"/>
          <w:sz w:val="24"/>
          <w:szCs w:val="24"/>
        </w:rPr>
        <w:t>ex18</w:t>
      </w:r>
      <w:proofErr w:type="spellEnd"/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01 10* jest obróbka fizyczno-chemiczna z wyłączeniem </w:t>
      </w:r>
      <w:proofErr w:type="spellStart"/>
      <w:r w:rsidRPr="00B34434">
        <w:rPr>
          <w:rFonts w:ascii="Times New Roman" w:hAnsi="Times New Roman" w:cs="Times New Roman"/>
          <w:color w:val="000000"/>
          <w:sz w:val="24"/>
          <w:szCs w:val="24"/>
        </w:rPr>
        <w:t>autoklawowania</w:t>
      </w:r>
      <w:proofErr w:type="spellEnd"/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, dezynfekcji termicznej, działaniami mikrofalami, jeżeli zastosowana w tej obróbce technika zapewnia bezpieczne dla środowiska oraz dla życia i zdrowia ludzi unieszkodliwianie odpadów (D9). Natomiast w odniesieniu do odpadów medycznych </w:t>
      </w:r>
      <w:r w:rsidR="00F561C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57CD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i odpadów weterynaryjnych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o właściwościach zakaźnych, jedynym dopuszczalnym sposobem ich przetwarzania jest przekształcanie termiczne w spalarniach odpadów niebezpiecznych.</w:t>
      </w:r>
    </w:p>
    <w:p w:rsidR="00C15A47" w:rsidRDefault="00C15A47" w:rsidP="00886588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79" w:rsidRPr="00B34434" w:rsidRDefault="005A0679" w:rsidP="00886588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44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Amalgamat stomatologiczny</w:t>
      </w:r>
      <w:r w:rsidR="00574976" w:rsidRPr="00B344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koszty</w:t>
      </w:r>
    </w:p>
    <w:p w:rsidR="005A0679" w:rsidRPr="00B34434" w:rsidRDefault="005A0679" w:rsidP="00886588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>Jeden gram amalgamatu kosztuje mniej więcej 5 zł, a kompozytu ok. 10 zł.</w:t>
      </w:r>
      <w:r w:rsidR="009157DA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Jednogramowa kapsułka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stosowana w gabinetach stomatologicznych składa się z 500 mg + 500</w:t>
      </w:r>
      <w:r w:rsidR="009157DA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mg rtęci. Ciężar właściwy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kompozytu wynosi ok. 2,5 g/</w:t>
      </w:r>
      <w:proofErr w:type="spellStart"/>
      <w:r w:rsidRPr="00B34434">
        <w:rPr>
          <w:rFonts w:ascii="Times New Roman" w:hAnsi="Times New Roman" w:cs="Times New Roman"/>
          <w:color w:val="000000"/>
          <w:sz w:val="24"/>
          <w:szCs w:val="24"/>
        </w:rPr>
        <w:t>cm3</w:t>
      </w:r>
      <w:proofErr w:type="spellEnd"/>
      <w:r w:rsidRPr="00B34434">
        <w:rPr>
          <w:rFonts w:ascii="Times New Roman" w:hAnsi="Times New Roman" w:cs="Times New Roman"/>
          <w:color w:val="000000"/>
          <w:sz w:val="24"/>
          <w:szCs w:val="24"/>
        </w:rPr>
        <w:t>, a amalgamatu ok. 12,5 g/</w:t>
      </w:r>
      <w:proofErr w:type="spellStart"/>
      <w:r w:rsidRPr="00B34434">
        <w:rPr>
          <w:rFonts w:ascii="Times New Roman" w:hAnsi="Times New Roman" w:cs="Times New Roman"/>
          <w:color w:val="000000"/>
          <w:sz w:val="24"/>
          <w:szCs w:val="24"/>
        </w:rPr>
        <w:t>cm3</w:t>
      </w:r>
      <w:proofErr w:type="spellEnd"/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157DA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(ciężar właściwy rtęć 13,54 g/</w:t>
      </w:r>
      <w:proofErr w:type="spellStart"/>
      <w:r w:rsidRPr="00B34434">
        <w:rPr>
          <w:rFonts w:ascii="Times New Roman" w:hAnsi="Times New Roman" w:cs="Times New Roman"/>
          <w:color w:val="000000"/>
          <w:sz w:val="24"/>
          <w:szCs w:val="24"/>
        </w:rPr>
        <w:t>cm3</w:t>
      </w:r>
      <w:proofErr w:type="spellEnd"/>
      <w:r w:rsidRPr="00B34434">
        <w:rPr>
          <w:rFonts w:ascii="Times New Roman" w:hAnsi="Times New Roman" w:cs="Times New Roman"/>
          <w:color w:val="000000"/>
          <w:sz w:val="24"/>
          <w:szCs w:val="24"/>
        </w:rPr>
        <w:t>, srebro 10,5, cynk 7,13, miedź 8,96 )</w:t>
      </w:r>
      <w:r w:rsidR="009157DA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BE1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Można więc przyjąć, że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1 gram kompozytu wypełnia minimum czterokrotnie większy ubytek przy cenie</w:t>
      </w:r>
      <w:r w:rsidR="009157DA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2 razy wyższej za gram amalgamatu.</w:t>
      </w:r>
      <w:r w:rsidR="009157DA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434">
        <w:rPr>
          <w:rFonts w:ascii="Times New Roman" w:hAnsi="Times New Roman" w:cs="Times New Roman"/>
          <w:bCs/>
          <w:color w:val="000000"/>
          <w:sz w:val="24"/>
          <w:szCs w:val="24"/>
        </w:rPr>
        <w:t>Wniosek - kompozyt jest dwa razy tańszy od amalgamatu. Gdyby amalgamat wycofano,</w:t>
      </w:r>
      <w:r w:rsidR="00B9135F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4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świadczeniodawcy </w:t>
      </w:r>
      <w:r w:rsidR="00020BE1" w:rsidRPr="00B34434">
        <w:rPr>
          <w:rFonts w:ascii="Times New Roman" w:hAnsi="Times New Roman" w:cs="Times New Roman"/>
          <w:bCs/>
          <w:color w:val="000000"/>
          <w:sz w:val="24"/>
          <w:szCs w:val="24"/>
        </w:rPr>
        <w:t>mogliby zaoszczędzić</w:t>
      </w:r>
      <w:r w:rsidRPr="00B344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50 % pieniędzy na zakupie materiałów </w:t>
      </w:r>
      <w:proofErr w:type="spellStart"/>
      <w:r w:rsidRPr="00B34434">
        <w:rPr>
          <w:rFonts w:ascii="Times New Roman" w:hAnsi="Times New Roman" w:cs="Times New Roman"/>
          <w:bCs/>
          <w:color w:val="000000"/>
          <w:sz w:val="24"/>
          <w:szCs w:val="24"/>
        </w:rPr>
        <w:t>wypełnieniowych</w:t>
      </w:r>
      <w:proofErr w:type="spellEnd"/>
      <w:r w:rsidRPr="00B344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52F44" w:rsidRPr="00B34434" w:rsidRDefault="00852F44" w:rsidP="00020BE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>Narodowy Fundusz Zdrowia podaje, że rocznie płaci za ponad 13 000 000 wypełnień</w:t>
      </w:r>
      <w:r w:rsidR="00B9135F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amalgamatowych,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które po jakimś czasie trzeba będzie usunąć, a rtęć zawarta tylko w jednym</w:t>
      </w:r>
      <w:r w:rsidR="00B9135F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wypełnieniu, zanieczyszcza od 100 do 300 metrów sześciennych wody, czyli ilość porównywalną</w:t>
      </w:r>
      <w:r w:rsidR="00B9135F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ze średnim rocznym zużyciem przez gospodarstwo domowe. Łącznie gabinety zrzucają do</w:t>
      </w:r>
      <w:r w:rsidR="00B9135F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kanalizacji ponad 6,5 tony rtęci rocznie. Dane te są wynikiem badań,</w:t>
      </w:r>
      <w:r w:rsidR="00020BE1" w:rsidRPr="00B34434">
        <w:rPr>
          <w:rFonts w:ascii="Times New Roman" w:hAnsi="Times New Roman" w:cs="Times New Roman"/>
          <w:sz w:val="24"/>
          <w:szCs w:val="24"/>
        </w:rPr>
        <w:t xml:space="preserve"> </w:t>
      </w:r>
      <w:r w:rsidR="00020BE1" w:rsidRPr="00B344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Analiza kosztów i korzyści dla zdrowia ludzkiego i środowiska związanych z redukcją emisji rtęci </w:t>
      </w:r>
      <w:r w:rsidR="00F561C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20BE1" w:rsidRPr="00B344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Polsce,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jakie przeprowadziła firma</w:t>
      </w:r>
      <w:r w:rsidR="00B9135F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Nilu Polska z Katowic w 2009 roku na zlecenie Ministra Środowiska</w:t>
      </w:r>
      <w:r w:rsidR="00020BE1" w:rsidRPr="00B34434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B344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135F"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290E" w:rsidRPr="00B34434" w:rsidRDefault="00E4290E" w:rsidP="00E4290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0E" w:rsidRPr="00B34434" w:rsidRDefault="00E4290E" w:rsidP="00E4290E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44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Separatory amalgamatu</w:t>
      </w:r>
    </w:p>
    <w:p w:rsidR="00E4290E" w:rsidRPr="00B34434" w:rsidRDefault="00E4290E" w:rsidP="00E4290E">
      <w:pPr>
        <w:pStyle w:val="NormalnyWeb"/>
        <w:spacing w:before="0" w:beforeAutospacing="0" w:after="240" w:afterAutospacing="0" w:line="276" w:lineRule="auto"/>
        <w:jc w:val="both"/>
        <w:rPr>
          <w:rFonts w:eastAsiaTheme="minorHAnsi"/>
          <w:color w:val="000000"/>
          <w:lang w:eastAsia="en-US"/>
        </w:rPr>
      </w:pPr>
      <w:r w:rsidRPr="00B34434">
        <w:rPr>
          <w:rFonts w:eastAsiaTheme="minorHAnsi"/>
          <w:color w:val="000000"/>
          <w:lang w:eastAsia="en-US"/>
        </w:rPr>
        <w:t xml:space="preserve">Separator amalgamatu jest urządzeniem stomatologicznym służącym do </w:t>
      </w:r>
      <w:r w:rsidRPr="00B34434">
        <w:rPr>
          <w:rFonts w:eastAsiaTheme="minorHAnsi"/>
          <w:bCs/>
          <w:color w:val="000000"/>
          <w:lang w:eastAsia="en-US"/>
        </w:rPr>
        <w:t xml:space="preserve">zatrzymywania </w:t>
      </w:r>
      <w:r w:rsidR="00F561C7">
        <w:rPr>
          <w:rFonts w:eastAsiaTheme="minorHAnsi"/>
          <w:bCs/>
          <w:color w:val="000000"/>
          <w:lang w:eastAsia="en-US"/>
        </w:rPr>
        <w:br/>
      </w:r>
      <w:r w:rsidRPr="00B34434">
        <w:rPr>
          <w:rFonts w:eastAsiaTheme="minorHAnsi"/>
          <w:bCs/>
          <w:color w:val="000000"/>
          <w:lang w:eastAsia="en-US"/>
        </w:rPr>
        <w:t>i zbierania cząstek amalgamatu</w:t>
      </w:r>
      <w:r w:rsidRPr="00B34434">
        <w:rPr>
          <w:rFonts w:eastAsiaTheme="minorHAnsi"/>
          <w:color w:val="000000"/>
          <w:lang w:eastAsia="en-US"/>
        </w:rPr>
        <w:t xml:space="preserve"> – w tym również cząstek znajdujących się w zużytej wodzie. Separator zbiera rtęć, która znajduje się „w linii” pomiędzy pompą a kanalizacją. Ścieki dentystyczne przepływają przez przewód podciśnieniowy i przechodzą przez separator amalgamatu, w którym oddzielają się i zbierają fragmenty zębów, amalgamat oraz rtęć.</w:t>
      </w:r>
    </w:p>
    <w:p w:rsidR="00E4290E" w:rsidRPr="00B34434" w:rsidRDefault="00E4290E" w:rsidP="00E4290E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>Separatory dzielimy na 3 rodzaje w zależności od sposobu separacji amalgamatu:</w:t>
      </w:r>
    </w:p>
    <w:p w:rsidR="00E4290E" w:rsidRPr="00B34434" w:rsidRDefault="00E4290E" w:rsidP="00E4290E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>1. Dynamiczne - aktywna wirówka, która separuje amalgamat - sprawność na poziomie 95-97 %. Są to konstrukcje wprowadzone na rynek równolegle z obowiązkiem instalacji separatorów w gabinetach w krajach zachodnich i one ukształtowały wiedzę o separatorach po dzień dzisiejszy.</w:t>
      </w:r>
    </w:p>
    <w:p w:rsidR="00E4290E" w:rsidRPr="00B34434" w:rsidRDefault="00E4290E" w:rsidP="00E4290E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>Cena w Polsce: 6500 – 8000 zł, montaż 3-5 godzin. Wymaga specjalistycznego serwisu.</w:t>
      </w:r>
    </w:p>
    <w:p w:rsidR="00E4290E" w:rsidRPr="00B34434" w:rsidRDefault="00E4290E" w:rsidP="00E4290E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2. Sedymentacyjne - czyli </w:t>
      </w:r>
      <w:proofErr w:type="spellStart"/>
      <w:r w:rsidRPr="00B34434">
        <w:rPr>
          <w:rFonts w:ascii="Times New Roman" w:hAnsi="Times New Roman" w:cs="Times New Roman"/>
          <w:color w:val="000000"/>
          <w:sz w:val="24"/>
          <w:szCs w:val="24"/>
        </w:rPr>
        <w:t>osadnikowe</w:t>
      </w:r>
      <w:proofErr w:type="spellEnd"/>
      <w:r w:rsidRPr="00B34434">
        <w:rPr>
          <w:rFonts w:ascii="Times New Roman" w:hAnsi="Times New Roman" w:cs="Times New Roman"/>
          <w:color w:val="000000"/>
          <w:sz w:val="24"/>
          <w:szCs w:val="24"/>
        </w:rPr>
        <w:t xml:space="preserve"> - sprawność 96 - 98 %. Cena 1200-3200 zł,</w:t>
      </w:r>
    </w:p>
    <w:p w:rsidR="00E4290E" w:rsidRPr="00B34434" w:rsidRDefault="00E4290E" w:rsidP="00E4290E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>Montaż 1-2 godziny. Nie wymaga specjalistycznego serwisu.</w:t>
      </w:r>
    </w:p>
    <w:p w:rsidR="00E4290E" w:rsidRPr="00B34434" w:rsidRDefault="00E4290E" w:rsidP="00E4290E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434">
        <w:rPr>
          <w:rFonts w:ascii="Times New Roman" w:hAnsi="Times New Roman" w:cs="Times New Roman"/>
          <w:color w:val="000000"/>
          <w:sz w:val="24"/>
          <w:szCs w:val="24"/>
        </w:rPr>
        <w:t>3. Filtracyjne - działają podobnie jak filtr do wody - sprawność 99,6 % - wprowadzone na rynek około 10 lat temu w USA. Montaż 1-2 godzin. Nie wymaga specjalistycznego serwisu. Możliwy jest samodzielny montaż. Cena – 1000 – 3000 zł. ( ceny brutto ).</w:t>
      </w:r>
    </w:p>
    <w:p w:rsidR="0065573F" w:rsidRPr="00B34434" w:rsidRDefault="0065573F" w:rsidP="00886588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707" w:rsidRDefault="00B14707" w:rsidP="0088658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434">
        <w:rPr>
          <w:rFonts w:ascii="Times New Roman" w:hAnsi="Times New Roman" w:cs="Times New Roman"/>
          <w:b/>
          <w:sz w:val="24"/>
          <w:szCs w:val="24"/>
          <w:u w:val="single"/>
        </w:rPr>
        <w:t>Konieczne do podjęcia działania:</w:t>
      </w:r>
    </w:p>
    <w:p w:rsidR="00A061E8" w:rsidRPr="00A061E8" w:rsidRDefault="00A061E8" w:rsidP="00A061E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061E8">
        <w:rPr>
          <w:rFonts w:ascii="Times New Roman" w:hAnsi="Times New Roman"/>
          <w:b/>
          <w:color w:val="0070C0"/>
          <w:sz w:val="24"/>
          <w:szCs w:val="24"/>
        </w:rPr>
        <w:t>Wyznaczenie celów dotyczących minimalizacji używania amalgamatu, biorąc pod uwagę następujące kroki:</w:t>
      </w:r>
    </w:p>
    <w:p w:rsidR="00A061E8" w:rsidRPr="00A061E8" w:rsidRDefault="00A061E8" w:rsidP="00A061E8">
      <w:pPr>
        <w:pStyle w:val="Akapitzlist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061E8" w:rsidRPr="00A061E8" w:rsidRDefault="006C000C" w:rsidP="00A061E8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z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aangażowanie interesariuszy, dentystów oraz organizacji środowiskowych do prowadzenia konsultacji, warsztatów oraz spotkań</w:t>
      </w:r>
    </w:p>
    <w:p w:rsidR="00A061E8" w:rsidRPr="00A061E8" w:rsidRDefault="006C000C" w:rsidP="00A061E8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o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kreślenie ilości zużywanego amalgamatu rocznie przez dentystów w całym kraju, wymaganie od producentów informacji na temat ilości sprzedawanego amalgamatu, śledzenie ilości importowanego amalgamatu w postaci kapsułek</w:t>
      </w:r>
    </w:p>
    <w:p w:rsidR="00A061E8" w:rsidRPr="00A061E8" w:rsidRDefault="006C000C" w:rsidP="00A061E8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w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ytyczanie celów: długoterminowych (całkowite wycofanie amalgamatu z użytku) lub krótkoterminowych (zmniejszenie % użytkowania amalgamatu, poprzez wycofanie go z poszczególnych placówek)</w:t>
      </w:r>
    </w:p>
    <w:p w:rsidR="00A061E8" w:rsidRPr="00A061E8" w:rsidRDefault="006C000C" w:rsidP="00A061E8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u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stalenie wytycznych w jakich sytuacjach amalgamat może być stosowany</w:t>
      </w:r>
      <w:r w:rsidR="008E6825">
        <w:rPr>
          <w:rFonts w:ascii="Times New Roman" w:hAnsi="Times New Roman"/>
          <w:color w:val="0070C0"/>
          <w:sz w:val="24"/>
          <w:szCs w:val="24"/>
        </w:rPr>
        <w:t xml:space="preserve"> (np. 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zakaz stosowania amalgamatu w przypadku leczenia dzieci lub kobiet w ciąży i karmiących piersią</w:t>
      </w:r>
      <w:r w:rsidR="008E6825">
        <w:rPr>
          <w:rFonts w:ascii="Times New Roman" w:hAnsi="Times New Roman"/>
          <w:color w:val="0070C0"/>
          <w:sz w:val="24"/>
          <w:szCs w:val="24"/>
        </w:rPr>
        <w:t>)</w:t>
      </w:r>
    </w:p>
    <w:p w:rsidR="00A061E8" w:rsidRPr="00A061E8" w:rsidRDefault="006C000C" w:rsidP="00B12823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lastRenderedPageBreak/>
        <w:t>z</w:t>
      </w:r>
      <w:r w:rsidR="008E6825">
        <w:rPr>
          <w:rFonts w:ascii="Times New Roman" w:hAnsi="Times New Roman"/>
          <w:color w:val="0070C0"/>
          <w:sz w:val="24"/>
          <w:szCs w:val="24"/>
        </w:rPr>
        <w:t>akaz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 xml:space="preserve"> handlu amalgamatem dentystycznym</w:t>
      </w:r>
      <w:r w:rsidR="008E6825">
        <w:rPr>
          <w:rFonts w:ascii="Times New Roman" w:hAnsi="Times New Roman"/>
          <w:color w:val="0070C0"/>
          <w:sz w:val="24"/>
          <w:szCs w:val="24"/>
        </w:rPr>
        <w:t xml:space="preserve"> (s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 xml:space="preserve">tosowanie ulepszonych kodów Zharmonizowanego Systemu HS, które umożliwią identyfikację tego materiału </w:t>
      </w:r>
      <w:r w:rsidR="00B12823">
        <w:rPr>
          <w:rFonts w:ascii="Times New Roman" w:hAnsi="Times New Roman"/>
          <w:color w:val="0070C0"/>
          <w:sz w:val="24"/>
          <w:szCs w:val="24"/>
        </w:rPr>
        <w:br/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i ograniczą jego import i eksport z kraju</w:t>
      </w:r>
      <w:r w:rsidR="008E6825">
        <w:rPr>
          <w:rFonts w:ascii="Times New Roman" w:hAnsi="Times New Roman"/>
          <w:color w:val="0070C0"/>
          <w:sz w:val="24"/>
          <w:szCs w:val="24"/>
        </w:rPr>
        <w:t>)</w:t>
      </w:r>
    </w:p>
    <w:p w:rsidR="00A061E8" w:rsidRPr="00A061E8" w:rsidRDefault="006C000C" w:rsidP="00B12823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o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graniczenie darowizn</w:t>
      </w:r>
      <w:r w:rsidR="008E6825">
        <w:rPr>
          <w:rFonts w:ascii="Times New Roman" w:hAnsi="Times New Roman"/>
          <w:color w:val="0070C0"/>
          <w:sz w:val="24"/>
          <w:szCs w:val="24"/>
        </w:rPr>
        <w:t xml:space="preserve"> poprzez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E6825">
        <w:rPr>
          <w:rFonts w:ascii="Times New Roman" w:hAnsi="Times New Roman"/>
          <w:color w:val="0070C0"/>
          <w:sz w:val="24"/>
          <w:szCs w:val="24"/>
        </w:rPr>
        <w:t>p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rzekonanie międzynarodowych agencji dawców, wspierających leczenie rtęciowe do wstrzymania swoich działań i zmiany celów</w:t>
      </w:r>
    </w:p>
    <w:p w:rsidR="00A061E8" w:rsidRPr="00A061E8" w:rsidRDefault="006C000C" w:rsidP="00B12823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w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ytyczenie konkretnej daty zakończenia korzystania z amalgamatu w całym kraju</w:t>
      </w:r>
    </w:p>
    <w:p w:rsidR="00A061E8" w:rsidRPr="00A061E8" w:rsidRDefault="006C000C" w:rsidP="00B12823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o</w:t>
      </w:r>
      <w:r w:rsidR="008E6825">
        <w:rPr>
          <w:rFonts w:ascii="Times New Roman" w:hAnsi="Times New Roman"/>
          <w:color w:val="0070C0"/>
          <w:sz w:val="24"/>
          <w:szCs w:val="24"/>
        </w:rPr>
        <w:t>bserwacja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 xml:space="preserve"> postępów podjętych działań i kontrol</w:t>
      </w:r>
      <w:r w:rsidR="008E6825">
        <w:rPr>
          <w:rFonts w:ascii="Times New Roman" w:hAnsi="Times New Roman"/>
          <w:color w:val="0070C0"/>
          <w:sz w:val="24"/>
          <w:szCs w:val="24"/>
        </w:rPr>
        <w:t>a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 xml:space="preserve"> ilości </w:t>
      </w:r>
      <w:r w:rsidR="00B12823">
        <w:rPr>
          <w:rFonts w:ascii="Times New Roman" w:hAnsi="Times New Roman"/>
          <w:color w:val="0070C0"/>
          <w:sz w:val="24"/>
          <w:szCs w:val="24"/>
        </w:rPr>
        <w:t>zużywanego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 xml:space="preserve"> amalgamatu </w:t>
      </w:r>
      <w:r w:rsidR="00B12823">
        <w:rPr>
          <w:rFonts w:ascii="Times New Roman" w:hAnsi="Times New Roman"/>
          <w:color w:val="0070C0"/>
          <w:sz w:val="24"/>
          <w:szCs w:val="24"/>
        </w:rPr>
        <w:br/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w regularnych odstępach czasowych</w:t>
      </w:r>
      <w:r w:rsidR="008E6825">
        <w:rPr>
          <w:rFonts w:ascii="Times New Roman" w:hAnsi="Times New Roman"/>
          <w:color w:val="0070C0"/>
          <w:sz w:val="24"/>
          <w:szCs w:val="24"/>
        </w:rPr>
        <w:t>.</w:t>
      </w:r>
    </w:p>
    <w:p w:rsidR="00B14707" w:rsidRPr="00B34434" w:rsidRDefault="00B14707" w:rsidP="00A061E8">
      <w:pPr>
        <w:pStyle w:val="NormalnyWeb"/>
        <w:numPr>
          <w:ilvl w:val="0"/>
          <w:numId w:val="10"/>
        </w:numPr>
        <w:spacing w:before="0" w:beforeAutospacing="0" w:after="240" w:afterAutospacing="0" w:line="276" w:lineRule="auto"/>
        <w:jc w:val="both"/>
      </w:pPr>
      <w:r w:rsidRPr="00B34434">
        <w:rPr>
          <w:rStyle w:val="Pogrubienie"/>
        </w:rPr>
        <w:t>Obowiązek stosowania amalgamatu stomatolo</w:t>
      </w:r>
      <w:r w:rsidR="0097503D" w:rsidRPr="00B34434">
        <w:rPr>
          <w:rStyle w:val="Pogrubienie"/>
        </w:rPr>
        <w:t>gicznego w formie kapsułkowanej</w:t>
      </w:r>
    </w:p>
    <w:p w:rsidR="00126170" w:rsidRPr="00B34434" w:rsidRDefault="00126170" w:rsidP="0097503D">
      <w:pPr>
        <w:pStyle w:val="NormalnyWeb"/>
        <w:spacing w:before="0" w:beforeAutospacing="0" w:after="240" w:afterAutospacing="0" w:line="276" w:lineRule="auto"/>
        <w:jc w:val="both"/>
      </w:pPr>
      <w:r w:rsidRPr="00B34434">
        <w:t>Należy zakazać lekarzom dentystom stosowania rtęci w formie niekapsułkowanej. Kapsułki amalgamatu, takie jak opisane w normach europejskich EN ISO 13897:2004 i EN ISO 24234:2015 są uważane za odpowiednie do użytku przez lekarzy dentystów.</w:t>
      </w:r>
    </w:p>
    <w:p w:rsidR="00B14707" w:rsidRPr="00B34434" w:rsidRDefault="006902CB" w:rsidP="0097503D">
      <w:pPr>
        <w:pStyle w:val="NormalnyWeb"/>
        <w:spacing w:before="0" w:beforeAutospacing="0" w:after="240" w:afterAutospacing="0" w:line="276" w:lineRule="auto"/>
        <w:jc w:val="both"/>
      </w:pPr>
      <w:r w:rsidRPr="00B34434">
        <w:t>Zgodnie ze stanowiskiem przedstawionym przez Prezydium Naczelnej Rady Lekarskiej z dnia 23 lutego 2016 r. s</w:t>
      </w:r>
      <w:r w:rsidR="00B14707" w:rsidRPr="00B34434">
        <w:t>amorząd lekarski popiera proponowany w art. 10 ust. 1 projektu obowiązek stosowania amalgamatu stomatologicznego w formie kapsułkowanej</w:t>
      </w:r>
      <w:r w:rsidR="00B14707" w:rsidRPr="00B34434">
        <w:rPr>
          <w:rStyle w:val="Odwoanieprzypisudolnego"/>
        </w:rPr>
        <w:footnoteReference w:id="5"/>
      </w:r>
      <w:r w:rsidR="00B14707" w:rsidRPr="00B34434">
        <w:t>.</w:t>
      </w:r>
    </w:p>
    <w:p w:rsidR="00B14707" w:rsidRPr="00B34434" w:rsidRDefault="00B14707" w:rsidP="0097503D">
      <w:pPr>
        <w:pStyle w:val="NormalnyWeb"/>
        <w:spacing w:before="0" w:beforeAutospacing="0" w:after="240" w:afterAutospacing="0" w:line="276" w:lineRule="auto"/>
        <w:jc w:val="both"/>
      </w:pPr>
      <w:r w:rsidRPr="00B34434">
        <w:t>W Polsce powszechne jest obecnie stosowanie amalgamatu właśnie w formie kapsułkowej, choć warto nadmienić, że materiał ten wykorzystywany jest głównie przez lekarzy dentystów wykonujących świadczenia zdrowotne na podstawie umowy z Narodowym Funduszem Zdrowia, a zdecydowanie rzadziej, czy nawet w ogóle, w gabinetach udzielających świadczeń poza systemem ubezpieczenia zdrowotnego.</w:t>
      </w:r>
    </w:p>
    <w:p w:rsidR="0097503D" w:rsidRPr="00B34434" w:rsidRDefault="0097503D" w:rsidP="00A061E8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34">
        <w:rPr>
          <w:rFonts w:ascii="Times New Roman" w:hAnsi="Times New Roman" w:cs="Times New Roman"/>
          <w:b/>
          <w:sz w:val="24"/>
          <w:szCs w:val="24"/>
        </w:rPr>
        <w:t>S</w:t>
      </w:r>
      <w:r w:rsidR="00B14707" w:rsidRPr="00B34434">
        <w:rPr>
          <w:rFonts w:ascii="Times New Roman" w:hAnsi="Times New Roman" w:cs="Times New Roman"/>
          <w:b/>
          <w:sz w:val="24"/>
          <w:szCs w:val="24"/>
        </w:rPr>
        <w:t>tosowanie separatorów amalgamatu</w:t>
      </w:r>
      <w:r w:rsidRPr="00B34434">
        <w:rPr>
          <w:rFonts w:ascii="Times New Roman" w:hAnsi="Times New Roman" w:cs="Times New Roman"/>
          <w:b/>
          <w:sz w:val="24"/>
          <w:szCs w:val="24"/>
        </w:rPr>
        <w:t xml:space="preserve"> w gabinetach stomatologicznych</w:t>
      </w:r>
      <w:r w:rsidR="00B14707" w:rsidRPr="00B344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707" w:rsidRPr="00B34434" w:rsidRDefault="0097503D" w:rsidP="0097503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 xml:space="preserve">Stosowanie separatorów amalgamatu w gabinetach stomatologicznych </w:t>
      </w:r>
      <w:r w:rsidR="00B14707" w:rsidRPr="00B34434">
        <w:rPr>
          <w:rFonts w:ascii="Times New Roman" w:hAnsi="Times New Roman" w:cs="Times New Roman"/>
          <w:sz w:val="24"/>
          <w:szCs w:val="24"/>
        </w:rPr>
        <w:t>w których</w:t>
      </w:r>
      <w:r w:rsidRPr="00B34434">
        <w:rPr>
          <w:rFonts w:ascii="Times New Roman" w:hAnsi="Times New Roman" w:cs="Times New Roman"/>
          <w:sz w:val="24"/>
          <w:szCs w:val="24"/>
        </w:rPr>
        <w:t xml:space="preserve"> stosuje się </w:t>
      </w:r>
      <w:r w:rsidR="00B14707" w:rsidRPr="00B34434">
        <w:rPr>
          <w:rFonts w:ascii="Times New Roman" w:hAnsi="Times New Roman" w:cs="Times New Roman"/>
          <w:sz w:val="24"/>
          <w:szCs w:val="24"/>
        </w:rPr>
        <w:t xml:space="preserve">amalgamat stomatologiczny lub wypełnienia z amalgamatu stomatologicznego, lub w którym usuwa się zęby zawierające takie wypełnienia, powinno być obowiązkowe, aby zapewnić ochronę lekarzy dentystów i pacjentów przed narażeniem na działanie rtęci oraz w celu zapewnienia, aby powstałe odpady były zbierane i unieszkodliwiane zgodnie z należytą gospodarką odpadami oraz aby w żadnych okolicznościach nie były uwalniane do środowiska. </w:t>
      </w:r>
      <w:r w:rsidR="00126170" w:rsidRPr="00B34434">
        <w:rPr>
          <w:rFonts w:ascii="Times New Roman" w:hAnsi="Times New Roman" w:cs="Times New Roman"/>
          <w:sz w:val="24"/>
          <w:szCs w:val="24"/>
        </w:rPr>
        <w:t>N</w:t>
      </w:r>
      <w:r w:rsidR="00B14707" w:rsidRPr="00B34434">
        <w:rPr>
          <w:rFonts w:ascii="Times New Roman" w:hAnsi="Times New Roman" w:cs="Times New Roman"/>
          <w:sz w:val="24"/>
          <w:szCs w:val="24"/>
        </w:rPr>
        <w:t xml:space="preserve">ależy określić minimalną skuteczność separatorów amalgamatu pod względem poziomu zatrzymania. Zgodność separatorów amalgamatu powinna być określana według odpowiednich norm, takich jak norma europejska EN ISO 11143:2008. </w:t>
      </w:r>
    </w:p>
    <w:p w:rsidR="0097503D" w:rsidRPr="00B34434" w:rsidRDefault="0097503D" w:rsidP="00A061E8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34">
        <w:rPr>
          <w:rFonts w:ascii="Times New Roman" w:hAnsi="Times New Roman" w:cs="Times New Roman"/>
          <w:b/>
          <w:sz w:val="24"/>
          <w:szCs w:val="24"/>
        </w:rPr>
        <w:t>Szkolenia dla studentów stomatologii i lekarzy dentystów</w:t>
      </w:r>
    </w:p>
    <w:p w:rsidR="00B14707" w:rsidRDefault="00B14707" w:rsidP="0097503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 xml:space="preserve">Szkolenia dla studentów stomatologii i lekarzy dentystów dotyczące stosowania bezrtęciowych alternatyw, w szczególności dla grup ludności podatnych na zagrożenia, takich jak dzieci </w:t>
      </w:r>
      <w:r w:rsidR="00F561C7">
        <w:rPr>
          <w:rFonts w:ascii="Times New Roman" w:hAnsi="Times New Roman" w:cs="Times New Roman"/>
          <w:sz w:val="24"/>
          <w:szCs w:val="24"/>
        </w:rPr>
        <w:br/>
      </w:r>
      <w:r w:rsidRPr="00B34434">
        <w:rPr>
          <w:rFonts w:ascii="Times New Roman" w:hAnsi="Times New Roman" w:cs="Times New Roman"/>
          <w:sz w:val="24"/>
          <w:szCs w:val="24"/>
        </w:rPr>
        <w:lastRenderedPageBreak/>
        <w:t xml:space="preserve">i kobiety ciężarne lub karmiące piersią, a tak że prowadzenie badań i innowacje w dziedzinie zdrowia jamy ustanej w celu podniesienia poziomu wiedzy na temat istniejących materiałów </w:t>
      </w:r>
      <w:r w:rsidR="00F561C7">
        <w:rPr>
          <w:rFonts w:ascii="Times New Roman" w:hAnsi="Times New Roman" w:cs="Times New Roman"/>
          <w:sz w:val="24"/>
          <w:szCs w:val="24"/>
        </w:rPr>
        <w:br/>
      </w:r>
      <w:r w:rsidRPr="00B34434">
        <w:rPr>
          <w:rFonts w:ascii="Times New Roman" w:hAnsi="Times New Roman" w:cs="Times New Roman"/>
          <w:sz w:val="24"/>
          <w:szCs w:val="24"/>
        </w:rPr>
        <w:t xml:space="preserve">i technik rekonstrukcji oraz w celu tworzenia nowych materiałów. </w:t>
      </w:r>
    </w:p>
    <w:p w:rsidR="00CE72E5" w:rsidRPr="00CE72E5" w:rsidRDefault="00B12823" w:rsidP="00CE72E5">
      <w:pPr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A</w:t>
      </w:r>
      <w:r w:rsidR="00CE72E5" w:rsidRPr="00CE72E5">
        <w:rPr>
          <w:rFonts w:ascii="Times New Roman" w:hAnsi="Times New Roman"/>
          <w:color w:val="0070C0"/>
          <w:sz w:val="24"/>
          <w:szCs w:val="24"/>
        </w:rPr>
        <w:t>ktualizacj</w:t>
      </w:r>
      <w:r>
        <w:rPr>
          <w:rFonts w:ascii="Times New Roman" w:hAnsi="Times New Roman"/>
          <w:color w:val="0070C0"/>
          <w:sz w:val="24"/>
          <w:szCs w:val="24"/>
        </w:rPr>
        <w:t>a</w:t>
      </w:r>
      <w:r w:rsidR="00CE72E5" w:rsidRPr="00CE72E5">
        <w:rPr>
          <w:rFonts w:ascii="Times New Roman" w:hAnsi="Times New Roman"/>
          <w:color w:val="0070C0"/>
          <w:sz w:val="24"/>
          <w:szCs w:val="24"/>
        </w:rPr>
        <w:t xml:space="preserve"> programów nauczania </w:t>
      </w:r>
      <w:r>
        <w:rPr>
          <w:rFonts w:ascii="Times New Roman" w:hAnsi="Times New Roman"/>
          <w:color w:val="0070C0"/>
          <w:sz w:val="24"/>
          <w:szCs w:val="24"/>
        </w:rPr>
        <w:t xml:space="preserve">w szkołach </w:t>
      </w:r>
      <w:r w:rsidR="00CE72E5" w:rsidRPr="00CE72E5">
        <w:rPr>
          <w:rFonts w:ascii="Times New Roman" w:hAnsi="Times New Roman"/>
          <w:color w:val="0070C0"/>
          <w:sz w:val="24"/>
          <w:szCs w:val="24"/>
        </w:rPr>
        <w:t>poprzez:</w:t>
      </w:r>
    </w:p>
    <w:p w:rsidR="00CE72E5" w:rsidRPr="00CE72E5" w:rsidRDefault="00B12823" w:rsidP="00CE72E5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i</w:t>
      </w:r>
      <w:r w:rsidR="00CE72E5" w:rsidRPr="00CE72E5">
        <w:rPr>
          <w:rFonts w:ascii="Times New Roman" w:hAnsi="Times New Roman"/>
          <w:color w:val="0070C0"/>
          <w:sz w:val="24"/>
          <w:szCs w:val="24"/>
        </w:rPr>
        <w:t>nformowanie dentystów o niebezpieczeństwie jakie niesie ze sobą stosowanie amalgamatu stomatologicznego i jakie szkody wyrządza to środowisku</w:t>
      </w:r>
    </w:p>
    <w:p w:rsidR="00CE72E5" w:rsidRPr="00CE72E5" w:rsidRDefault="00B12823" w:rsidP="00CE72E5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u</w:t>
      </w:r>
      <w:r w:rsidR="00CE72E5" w:rsidRPr="00CE72E5">
        <w:rPr>
          <w:rFonts w:ascii="Times New Roman" w:hAnsi="Times New Roman"/>
          <w:color w:val="0070C0"/>
          <w:sz w:val="24"/>
          <w:szCs w:val="24"/>
        </w:rPr>
        <w:t>świadomienie o zaletach, jakie płyną ze stosowania bezrtęciowych wypełnień, które prezentują działania mało inwazyjne</w:t>
      </w:r>
    </w:p>
    <w:p w:rsidR="00CE72E5" w:rsidRPr="00CE72E5" w:rsidRDefault="00B12823" w:rsidP="00CE72E5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z</w:t>
      </w:r>
      <w:r w:rsidR="00CE72E5" w:rsidRPr="00CE72E5">
        <w:rPr>
          <w:rFonts w:ascii="Times New Roman" w:hAnsi="Times New Roman"/>
          <w:color w:val="0070C0"/>
          <w:sz w:val="24"/>
          <w:szCs w:val="24"/>
        </w:rPr>
        <w:t>achę</w:t>
      </w:r>
      <w:r>
        <w:rPr>
          <w:rFonts w:ascii="Times New Roman" w:hAnsi="Times New Roman"/>
          <w:color w:val="0070C0"/>
          <w:sz w:val="24"/>
          <w:szCs w:val="24"/>
        </w:rPr>
        <w:t xml:space="preserve">ty dla </w:t>
      </w:r>
      <w:r w:rsidR="00CE72E5" w:rsidRPr="00CE72E5">
        <w:rPr>
          <w:rFonts w:ascii="Times New Roman" w:hAnsi="Times New Roman"/>
          <w:color w:val="0070C0"/>
          <w:sz w:val="24"/>
          <w:szCs w:val="24"/>
        </w:rPr>
        <w:t>szkół do wprowadzenia nowego modelu nauczania, przedstawiającego minimalnie inwazyjne metody stomatologiczne</w:t>
      </w:r>
    </w:p>
    <w:p w:rsidR="00CE72E5" w:rsidRPr="00CE72E5" w:rsidRDefault="00CE72E5" w:rsidP="00CE72E5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 w:rsidRPr="00CE72E5">
        <w:rPr>
          <w:rFonts w:ascii="Times New Roman" w:hAnsi="Times New Roman"/>
          <w:color w:val="0070C0"/>
          <w:sz w:val="24"/>
          <w:szCs w:val="24"/>
        </w:rPr>
        <w:t>nacisk na szkolenie w zakresie stosowania bezrtęciowych wypełnień protetycznych</w:t>
      </w:r>
    </w:p>
    <w:p w:rsidR="00CE72E5" w:rsidRPr="00CE72E5" w:rsidRDefault="00B12823" w:rsidP="00CE72E5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z</w:t>
      </w:r>
      <w:r w:rsidR="00CE72E5" w:rsidRPr="00CE72E5">
        <w:rPr>
          <w:rFonts w:ascii="Times New Roman" w:hAnsi="Times New Roman"/>
          <w:color w:val="0070C0"/>
          <w:sz w:val="24"/>
          <w:szCs w:val="24"/>
        </w:rPr>
        <w:t>aprzestanie finansowania zakupów amalgamatu dentystycznego do celów szkoleniowych na uczelniach</w:t>
      </w:r>
    </w:p>
    <w:p w:rsidR="00CE72E5" w:rsidRPr="007F2A71" w:rsidRDefault="00B12823" w:rsidP="007F2A7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w</w:t>
      </w:r>
      <w:r w:rsidR="00CE72E5" w:rsidRPr="00CE72E5">
        <w:rPr>
          <w:rFonts w:ascii="Times New Roman" w:hAnsi="Times New Roman"/>
          <w:color w:val="0070C0"/>
          <w:sz w:val="24"/>
          <w:szCs w:val="24"/>
        </w:rPr>
        <w:t>ytyczenie daty zakończenia korzystania z amalgamatu w klinikach szkół dentystycznych.</w:t>
      </w:r>
    </w:p>
    <w:p w:rsidR="0097503D" w:rsidRPr="00B34434" w:rsidRDefault="0097503D" w:rsidP="00A061E8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34">
        <w:rPr>
          <w:rFonts w:ascii="Times New Roman" w:hAnsi="Times New Roman" w:cs="Times New Roman"/>
          <w:b/>
          <w:sz w:val="24"/>
          <w:szCs w:val="24"/>
        </w:rPr>
        <w:t>Kontrole w gabinetach stomatologicznych</w:t>
      </w:r>
    </w:p>
    <w:p w:rsidR="00B14707" w:rsidRDefault="00B14707" w:rsidP="0097503D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434">
        <w:rPr>
          <w:rFonts w:ascii="Times New Roman" w:hAnsi="Times New Roman" w:cs="Times New Roman"/>
          <w:sz w:val="24"/>
          <w:szCs w:val="24"/>
        </w:rPr>
        <w:t>W gabinetach dentystycznych muszą być przeprowadzane kontrole pod kątem obchodzenia się z rtęcią stomatologiczną</w:t>
      </w:r>
      <w:r w:rsidR="008B1A8D" w:rsidRPr="00B34434">
        <w:rPr>
          <w:rFonts w:ascii="Times New Roman" w:hAnsi="Times New Roman" w:cs="Times New Roman"/>
          <w:sz w:val="24"/>
          <w:szCs w:val="24"/>
        </w:rPr>
        <w:t xml:space="preserve">. Obecnie zadanie to realizuje Państwowa Inspekcja Sanitarna. </w:t>
      </w:r>
      <w:r w:rsidR="00F561C7">
        <w:rPr>
          <w:rFonts w:ascii="Times New Roman" w:hAnsi="Times New Roman" w:cs="Times New Roman"/>
          <w:sz w:val="24"/>
          <w:szCs w:val="24"/>
        </w:rPr>
        <w:br/>
      </w:r>
      <w:r w:rsidR="008B1A8D" w:rsidRPr="00B34434">
        <w:rPr>
          <w:rFonts w:ascii="Times New Roman" w:hAnsi="Times New Roman" w:cs="Times New Roman"/>
          <w:sz w:val="24"/>
          <w:szCs w:val="24"/>
        </w:rPr>
        <w:t xml:space="preserve">W przypadku ewentualnego ustalenia w trakcie kontroli braku wyposażenia gabinetu stomatologicznego w separator amalgamatu w gabinecie dentystycznym Państwowa Inspekcja Sanitarna ma obowiązek informacyjny wobec podmiotu udzielającego świadczeń zdrowotnych z zakresu stomatologii i organu rejestrowego oraz ewentualne powiadomienia organów Inspekcji Ochrony Środowiska w celu podjęcia przez nie stosownych działań. </w:t>
      </w:r>
    </w:p>
    <w:p w:rsidR="007F2A71" w:rsidRDefault="007F2A71" w:rsidP="007F2A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Modyfikacja</w:t>
      </w:r>
      <w:r w:rsidRPr="007F2A71">
        <w:rPr>
          <w:rFonts w:ascii="Times New Roman" w:hAnsi="Times New Roman"/>
          <w:b/>
          <w:color w:val="0070C0"/>
          <w:sz w:val="24"/>
          <w:szCs w:val="24"/>
        </w:rPr>
        <w:t xml:space="preserve"> program</w:t>
      </w:r>
      <w:r>
        <w:rPr>
          <w:rFonts w:ascii="Times New Roman" w:hAnsi="Times New Roman"/>
          <w:b/>
          <w:color w:val="0070C0"/>
          <w:sz w:val="24"/>
          <w:szCs w:val="24"/>
        </w:rPr>
        <w:t>ów</w:t>
      </w:r>
      <w:r w:rsidRPr="007F2A71">
        <w:rPr>
          <w:rFonts w:ascii="Times New Roman" w:hAnsi="Times New Roman"/>
          <w:b/>
          <w:color w:val="0070C0"/>
          <w:sz w:val="24"/>
          <w:szCs w:val="24"/>
        </w:rPr>
        <w:t xml:space="preserve"> rządow</w:t>
      </w:r>
      <w:r>
        <w:rPr>
          <w:rFonts w:ascii="Times New Roman" w:hAnsi="Times New Roman"/>
          <w:b/>
          <w:color w:val="0070C0"/>
          <w:sz w:val="24"/>
          <w:szCs w:val="24"/>
        </w:rPr>
        <w:t>ych</w:t>
      </w:r>
      <w:r w:rsidRPr="007F2A71">
        <w:rPr>
          <w:rFonts w:ascii="Times New Roman" w:hAnsi="Times New Roman"/>
          <w:b/>
          <w:color w:val="0070C0"/>
          <w:sz w:val="24"/>
          <w:szCs w:val="24"/>
        </w:rPr>
        <w:t xml:space="preserve"> i system</w:t>
      </w:r>
      <w:r>
        <w:rPr>
          <w:rFonts w:ascii="Times New Roman" w:hAnsi="Times New Roman"/>
          <w:b/>
          <w:color w:val="0070C0"/>
          <w:sz w:val="24"/>
          <w:szCs w:val="24"/>
        </w:rPr>
        <w:t>ów</w:t>
      </w:r>
      <w:r w:rsidRPr="007F2A71">
        <w:rPr>
          <w:rFonts w:ascii="Times New Roman" w:hAnsi="Times New Roman"/>
          <w:b/>
          <w:color w:val="0070C0"/>
          <w:sz w:val="24"/>
          <w:szCs w:val="24"/>
        </w:rPr>
        <w:t xml:space="preserve"> ubezpieczeniow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ych w celu </w:t>
      </w:r>
      <w:r w:rsidRPr="007F2A71">
        <w:rPr>
          <w:rFonts w:ascii="Times New Roman" w:hAnsi="Times New Roman"/>
          <w:b/>
          <w:color w:val="0070C0"/>
          <w:sz w:val="24"/>
          <w:szCs w:val="24"/>
        </w:rPr>
        <w:t>promowa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nia </w:t>
      </w:r>
      <w:r w:rsidRPr="007F2A71">
        <w:rPr>
          <w:rFonts w:ascii="Times New Roman" w:hAnsi="Times New Roman"/>
          <w:b/>
          <w:color w:val="0070C0"/>
          <w:sz w:val="24"/>
          <w:szCs w:val="24"/>
        </w:rPr>
        <w:t>wypełnie</w:t>
      </w:r>
      <w:r>
        <w:rPr>
          <w:rFonts w:ascii="Times New Roman" w:hAnsi="Times New Roman"/>
          <w:b/>
          <w:color w:val="0070C0"/>
          <w:sz w:val="24"/>
          <w:szCs w:val="24"/>
        </w:rPr>
        <w:t>ń stomatologicznych be</w:t>
      </w:r>
      <w:r w:rsidRPr="007F2A71">
        <w:rPr>
          <w:rFonts w:ascii="Times New Roman" w:hAnsi="Times New Roman"/>
          <w:b/>
          <w:color w:val="0070C0"/>
          <w:sz w:val="24"/>
          <w:szCs w:val="24"/>
        </w:rPr>
        <w:t>z rtęci, stosując następujące strategie:</w:t>
      </w:r>
    </w:p>
    <w:p w:rsidR="007F2A71" w:rsidRPr="007F2A71" w:rsidRDefault="007F2A71" w:rsidP="007F2A71">
      <w:pPr>
        <w:pStyle w:val="Akapitzlist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7F2A71" w:rsidRPr="007F2A71" w:rsidRDefault="006C000C" w:rsidP="007F2A7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w</w:t>
      </w:r>
      <w:r w:rsidR="007F2A71" w:rsidRPr="007F2A71">
        <w:rPr>
          <w:rFonts w:ascii="Times New Roman" w:hAnsi="Times New Roman"/>
          <w:color w:val="0070C0"/>
          <w:sz w:val="24"/>
          <w:szCs w:val="24"/>
        </w:rPr>
        <w:t>ymaganie stomatologii bezrtęciowej w instytucjach i programach rządowych</w:t>
      </w:r>
      <w:r>
        <w:rPr>
          <w:rFonts w:ascii="Times New Roman" w:hAnsi="Times New Roman"/>
          <w:color w:val="0070C0"/>
          <w:sz w:val="24"/>
          <w:szCs w:val="24"/>
        </w:rPr>
        <w:t xml:space="preserve"> (f</w:t>
      </w:r>
      <w:r w:rsidR="007F2A71" w:rsidRPr="007F2A71">
        <w:rPr>
          <w:rFonts w:ascii="Times New Roman" w:hAnsi="Times New Roman"/>
          <w:color w:val="0070C0"/>
          <w:sz w:val="24"/>
          <w:szCs w:val="24"/>
        </w:rPr>
        <w:t>inansowanie wyłącznie stomatologii bezrtęciowej przez rząd i opiekę zdrowotną</w:t>
      </w:r>
      <w:r>
        <w:rPr>
          <w:rFonts w:ascii="Times New Roman" w:hAnsi="Times New Roman"/>
          <w:color w:val="0070C0"/>
          <w:sz w:val="24"/>
          <w:szCs w:val="24"/>
        </w:rPr>
        <w:t>,</w:t>
      </w:r>
      <w:r w:rsidR="007F2A71" w:rsidRPr="007F2A71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>z</w:t>
      </w:r>
      <w:r w:rsidR="007F2A71" w:rsidRPr="007F2A71">
        <w:rPr>
          <w:rFonts w:ascii="Times New Roman" w:hAnsi="Times New Roman"/>
          <w:color w:val="0070C0"/>
          <w:sz w:val="24"/>
          <w:szCs w:val="24"/>
        </w:rPr>
        <w:t>akończenie w określonym terminie stosowania amalgamatu w niezależnych systemach opieki zdrowotnej i służbach zbrojnych</w:t>
      </w:r>
      <w:r>
        <w:rPr>
          <w:rFonts w:ascii="Times New Roman" w:hAnsi="Times New Roman"/>
          <w:color w:val="0070C0"/>
          <w:sz w:val="24"/>
          <w:szCs w:val="24"/>
        </w:rPr>
        <w:t>)</w:t>
      </w:r>
    </w:p>
    <w:p w:rsidR="007F2A71" w:rsidRPr="007F2A71" w:rsidRDefault="006C000C" w:rsidP="007F2A7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s</w:t>
      </w:r>
      <w:r w:rsidR="007F2A71" w:rsidRPr="007F2A71">
        <w:rPr>
          <w:rFonts w:ascii="Times New Roman" w:hAnsi="Times New Roman"/>
          <w:color w:val="0070C0"/>
          <w:sz w:val="24"/>
          <w:szCs w:val="24"/>
        </w:rPr>
        <w:t>topniowe wycofywani</w:t>
      </w:r>
      <w:r w:rsidR="007F2A71">
        <w:rPr>
          <w:rFonts w:ascii="Times New Roman" w:hAnsi="Times New Roman"/>
          <w:color w:val="0070C0"/>
          <w:sz w:val="24"/>
          <w:szCs w:val="24"/>
        </w:rPr>
        <w:t>e</w:t>
      </w:r>
      <w:r w:rsidR="007F2A71" w:rsidRPr="007F2A71">
        <w:rPr>
          <w:rFonts w:ascii="Times New Roman" w:hAnsi="Times New Roman"/>
          <w:color w:val="0070C0"/>
          <w:sz w:val="24"/>
          <w:szCs w:val="24"/>
        </w:rPr>
        <w:t xml:space="preserve"> finansowania oraz polis ubezpieczeniowych dla pracowników na leczenie przy użyciu amalgamatu i zastąpienie go innym materiałem</w:t>
      </w:r>
    </w:p>
    <w:p w:rsidR="007F2A71" w:rsidRPr="006C000C" w:rsidRDefault="006C000C" w:rsidP="006C000C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z</w:t>
      </w:r>
      <w:r w:rsidR="007F2A71" w:rsidRPr="007F2A71">
        <w:rPr>
          <w:rFonts w:ascii="Times New Roman" w:hAnsi="Times New Roman"/>
          <w:color w:val="0070C0"/>
          <w:sz w:val="24"/>
          <w:szCs w:val="24"/>
        </w:rPr>
        <w:t>aprzestanie</w:t>
      </w:r>
      <w:r>
        <w:rPr>
          <w:rFonts w:ascii="Times New Roman" w:hAnsi="Times New Roman"/>
          <w:color w:val="0070C0"/>
          <w:sz w:val="24"/>
          <w:szCs w:val="24"/>
        </w:rPr>
        <w:t xml:space="preserve"> oraz ograniczenie</w:t>
      </w:r>
      <w:r w:rsidR="007F2A71" w:rsidRPr="007F2A71">
        <w:rPr>
          <w:rFonts w:ascii="Times New Roman" w:hAnsi="Times New Roman"/>
          <w:color w:val="0070C0"/>
          <w:sz w:val="24"/>
          <w:szCs w:val="24"/>
        </w:rPr>
        <w:t xml:space="preserve"> kupna amalgamatu do użytku w rządowych placówkach i zakładach</w:t>
      </w:r>
      <w:r w:rsidR="007F2A71">
        <w:rPr>
          <w:rFonts w:ascii="Times New Roman" w:hAnsi="Times New Roman"/>
          <w:color w:val="0070C0"/>
          <w:sz w:val="24"/>
          <w:szCs w:val="24"/>
        </w:rPr>
        <w:t xml:space="preserve"> (zakup </w:t>
      </w:r>
      <w:r w:rsidR="007F2A71" w:rsidRPr="007F2A71">
        <w:rPr>
          <w:rFonts w:ascii="Times New Roman" w:hAnsi="Times New Roman"/>
          <w:color w:val="0070C0"/>
          <w:sz w:val="24"/>
          <w:szCs w:val="24"/>
        </w:rPr>
        <w:t>materiałów bezrtęciowych</w:t>
      </w:r>
      <w:r w:rsidR="007F2A71">
        <w:rPr>
          <w:rFonts w:ascii="Times New Roman" w:hAnsi="Times New Roman"/>
          <w:color w:val="0070C0"/>
          <w:sz w:val="24"/>
          <w:szCs w:val="24"/>
        </w:rPr>
        <w:t>)</w:t>
      </w:r>
      <w:r>
        <w:rPr>
          <w:rFonts w:ascii="Times New Roman" w:hAnsi="Times New Roman"/>
          <w:color w:val="0070C0"/>
          <w:sz w:val="24"/>
          <w:szCs w:val="24"/>
        </w:rPr>
        <w:t>.</w:t>
      </w:r>
    </w:p>
    <w:p w:rsidR="00126170" w:rsidRPr="00B34434" w:rsidRDefault="00126170" w:rsidP="00A061E8">
      <w:pPr>
        <w:pStyle w:val="NormalnyWeb"/>
        <w:numPr>
          <w:ilvl w:val="0"/>
          <w:numId w:val="10"/>
        </w:numPr>
        <w:spacing w:before="0" w:beforeAutospacing="0" w:after="240" w:afterAutospacing="0" w:line="276" w:lineRule="auto"/>
        <w:jc w:val="both"/>
        <w:rPr>
          <w:b/>
        </w:rPr>
      </w:pPr>
      <w:r w:rsidRPr="00B34434">
        <w:rPr>
          <w:b/>
        </w:rPr>
        <w:lastRenderedPageBreak/>
        <w:t>Działania profilaktyczne</w:t>
      </w:r>
    </w:p>
    <w:p w:rsidR="00B14707" w:rsidRDefault="00B14707" w:rsidP="00126170">
      <w:pPr>
        <w:pStyle w:val="NormalnyWeb"/>
        <w:spacing w:before="0" w:beforeAutospacing="0" w:after="240" w:afterAutospacing="0" w:line="276" w:lineRule="auto"/>
        <w:jc w:val="both"/>
      </w:pPr>
      <w:r w:rsidRPr="00B34434">
        <w:t>W opinii samorządu lekarskiego</w:t>
      </w:r>
      <w:r w:rsidRPr="00B34434">
        <w:rPr>
          <w:rStyle w:val="Odwoanieprzypisudolnego"/>
        </w:rPr>
        <w:footnoteReference w:id="6"/>
      </w:r>
      <w:r w:rsidRPr="00B34434">
        <w:t xml:space="preserve"> najskuteczniejszą metodą redukcji stosowania amalgamatu stomatologicznego, a co za tym idzie zawartej w nim rtęci, jest wzmożenie działań, </w:t>
      </w:r>
      <w:r w:rsidR="00F561C7">
        <w:br/>
      </w:r>
      <w:r w:rsidRPr="00B34434">
        <w:t>w szczególności działań profilaktycznych, w celu redukcji występowania choroby próchniczej w populacji, zapobiegania rozwojowi próchnicy pierwotnej.</w:t>
      </w:r>
    </w:p>
    <w:p w:rsidR="00A061E8" w:rsidRDefault="00A061E8" w:rsidP="00A061E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P</w:t>
      </w:r>
      <w:r w:rsidRPr="00A061E8">
        <w:rPr>
          <w:rFonts w:ascii="Times New Roman" w:hAnsi="Times New Roman"/>
          <w:b/>
          <w:color w:val="0070C0"/>
          <w:sz w:val="24"/>
          <w:szCs w:val="24"/>
        </w:rPr>
        <w:t>odnie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sienie </w:t>
      </w:r>
      <w:r w:rsidRPr="00A061E8">
        <w:rPr>
          <w:rFonts w:ascii="Times New Roman" w:hAnsi="Times New Roman"/>
          <w:b/>
          <w:color w:val="0070C0"/>
          <w:sz w:val="24"/>
          <w:szCs w:val="24"/>
        </w:rPr>
        <w:t>świadomoś</w:t>
      </w:r>
      <w:r>
        <w:rPr>
          <w:rFonts w:ascii="Times New Roman" w:hAnsi="Times New Roman"/>
          <w:b/>
          <w:color w:val="0070C0"/>
          <w:sz w:val="24"/>
          <w:szCs w:val="24"/>
        </w:rPr>
        <w:t>ci</w:t>
      </w:r>
      <w:r w:rsidRPr="00A061E8">
        <w:rPr>
          <w:rFonts w:ascii="Times New Roman" w:hAnsi="Times New Roman"/>
          <w:b/>
          <w:color w:val="0070C0"/>
          <w:sz w:val="24"/>
          <w:szCs w:val="24"/>
        </w:rPr>
        <w:t xml:space="preserve"> społeczn</w:t>
      </w:r>
      <w:r>
        <w:rPr>
          <w:rFonts w:ascii="Times New Roman" w:hAnsi="Times New Roman"/>
          <w:b/>
          <w:color w:val="0070C0"/>
          <w:sz w:val="24"/>
          <w:szCs w:val="24"/>
        </w:rPr>
        <w:t>ej</w:t>
      </w:r>
      <w:r w:rsidRPr="00A061E8">
        <w:rPr>
          <w:rFonts w:ascii="Times New Roman" w:hAnsi="Times New Roman"/>
          <w:b/>
          <w:color w:val="0070C0"/>
          <w:sz w:val="24"/>
          <w:szCs w:val="24"/>
        </w:rPr>
        <w:t xml:space="preserve"> na temat rtęci w amalgamacie i promowa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nie </w:t>
      </w:r>
      <w:r w:rsidRPr="00A061E8">
        <w:rPr>
          <w:rFonts w:ascii="Times New Roman" w:hAnsi="Times New Roman"/>
          <w:b/>
          <w:color w:val="0070C0"/>
          <w:sz w:val="24"/>
          <w:szCs w:val="24"/>
        </w:rPr>
        <w:t xml:space="preserve">bezrtęciowego wypełnienia </w:t>
      </w:r>
      <w:r w:rsidR="00B45E88">
        <w:rPr>
          <w:rFonts w:ascii="Times New Roman" w:hAnsi="Times New Roman"/>
          <w:b/>
          <w:color w:val="0070C0"/>
          <w:sz w:val="24"/>
          <w:szCs w:val="24"/>
        </w:rPr>
        <w:t>stomatologicznego</w:t>
      </w:r>
      <w:r w:rsidRPr="00A061E8">
        <w:rPr>
          <w:rFonts w:ascii="Times New Roman" w:hAnsi="Times New Roman"/>
          <w:b/>
          <w:color w:val="0070C0"/>
          <w:sz w:val="24"/>
          <w:szCs w:val="24"/>
        </w:rPr>
        <w:t xml:space="preserve"> za pomocą strategii </w:t>
      </w:r>
      <w:r w:rsidR="00B45E88">
        <w:rPr>
          <w:rFonts w:ascii="Times New Roman" w:hAnsi="Times New Roman"/>
          <w:b/>
          <w:color w:val="0070C0"/>
          <w:sz w:val="24"/>
          <w:szCs w:val="24"/>
        </w:rPr>
        <w:t>k</w:t>
      </w:r>
      <w:r w:rsidRPr="00A061E8">
        <w:rPr>
          <w:rFonts w:ascii="Times New Roman" w:hAnsi="Times New Roman"/>
          <w:b/>
          <w:color w:val="0070C0"/>
          <w:sz w:val="24"/>
          <w:szCs w:val="24"/>
        </w:rPr>
        <w:t>omunikacyjnych, takich jak:</w:t>
      </w:r>
    </w:p>
    <w:p w:rsidR="00A061E8" w:rsidRPr="00A061E8" w:rsidRDefault="00A061E8" w:rsidP="00A061E8">
      <w:pPr>
        <w:pStyle w:val="Akapitzlist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B45E88" w:rsidRDefault="00B45E88" w:rsidP="00B45E88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ś</w:t>
      </w:r>
      <w:r w:rsidR="00A061E8" w:rsidRPr="00CE72E5">
        <w:rPr>
          <w:rFonts w:ascii="Times New Roman" w:hAnsi="Times New Roman"/>
          <w:color w:val="0070C0"/>
          <w:sz w:val="24"/>
          <w:szCs w:val="24"/>
        </w:rPr>
        <w:t>rodki masowego przekazu</w:t>
      </w:r>
      <w:r>
        <w:rPr>
          <w:rFonts w:ascii="Times New Roman" w:hAnsi="Times New Roman"/>
          <w:color w:val="0070C0"/>
          <w:sz w:val="24"/>
          <w:szCs w:val="24"/>
        </w:rPr>
        <w:t xml:space="preserve"> oraz broszury</w:t>
      </w:r>
      <w:r w:rsidR="00A061E8" w:rsidRPr="00CE72E5">
        <w:rPr>
          <w:rFonts w:ascii="Times New Roman" w:hAnsi="Times New Roman"/>
          <w:color w:val="0070C0"/>
          <w:sz w:val="24"/>
          <w:szCs w:val="24"/>
        </w:rPr>
        <w:t xml:space="preserve"> (przekazanie społeczeństwu informacji tj.: amalgamat zawiera około 50% rtęci, 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 xml:space="preserve">Unia Europejska i Konwencja z </w:t>
      </w:r>
      <w:proofErr w:type="spellStart"/>
      <w:r w:rsidR="00A061E8" w:rsidRPr="00A061E8">
        <w:rPr>
          <w:rFonts w:ascii="Times New Roman" w:hAnsi="Times New Roman"/>
          <w:color w:val="0070C0"/>
          <w:sz w:val="24"/>
          <w:szCs w:val="24"/>
        </w:rPr>
        <w:t>Minamaty</w:t>
      </w:r>
      <w:proofErr w:type="spellEnd"/>
      <w:r w:rsidR="00A061E8" w:rsidRPr="00A061E8">
        <w:rPr>
          <w:rFonts w:ascii="Times New Roman" w:hAnsi="Times New Roman"/>
          <w:color w:val="0070C0"/>
          <w:sz w:val="24"/>
          <w:szCs w:val="24"/>
        </w:rPr>
        <w:t xml:space="preserve"> wymagają wycofania stosowania amalgamatu</w:t>
      </w:r>
      <w:r w:rsidR="00A061E8" w:rsidRPr="00CE72E5">
        <w:rPr>
          <w:rFonts w:ascii="Times New Roman" w:hAnsi="Times New Roman"/>
          <w:color w:val="0070C0"/>
          <w:sz w:val="24"/>
          <w:szCs w:val="24"/>
        </w:rPr>
        <w:t>, p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acjenci powinni prosić o wypełnienia z innych materiałów bezrtęciowych</w:t>
      </w:r>
      <w:r w:rsidR="00A061E8" w:rsidRPr="00CE72E5">
        <w:rPr>
          <w:rFonts w:ascii="Times New Roman" w:hAnsi="Times New Roman"/>
          <w:color w:val="0070C0"/>
          <w:sz w:val="24"/>
          <w:szCs w:val="24"/>
        </w:rPr>
        <w:t>)</w:t>
      </w:r>
    </w:p>
    <w:p w:rsidR="00A061E8" w:rsidRPr="00B45E88" w:rsidRDefault="00B45E88" w:rsidP="00B45E88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f</w:t>
      </w:r>
      <w:r w:rsidR="00A061E8" w:rsidRPr="00B45E88">
        <w:rPr>
          <w:rFonts w:ascii="Times New Roman" w:hAnsi="Times New Roman"/>
          <w:color w:val="0070C0"/>
          <w:sz w:val="24"/>
          <w:szCs w:val="24"/>
        </w:rPr>
        <w:t>ormularze zgody</w:t>
      </w:r>
      <w:r>
        <w:rPr>
          <w:rFonts w:ascii="Times New Roman" w:hAnsi="Times New Roman"/>
          <w:color w:val="0070C0"/>
          <w:sz w:val="24"/>
          <w:szCs w:val="24"/>
        </w:rPr>
        <w:t xml:space="preserve"> (w</w:t>
      </w:r>
      <w:r w:rsidR="00A061E8" w:rsidRPr="00B45E88">
        <w:rPr>
          <w:rFonts w:ascii="Times New Roman" w:hAnsi="Times New Roman"/>
          <w:color w:val="0070C0"/>
          <w:sz w:val="24"/>
          <w:szCs w:val="24"/>
        </w:rPr>
        <w:t xml:space="preserve">ymagane </w:t>
      </w:r>
      <w:r w:rsidRPr="00B45E88">
        <w:rPr>
          <w:rFonts w:ascii="Times New Roman" w:hAnsi="Times New Roman"/>
          <w:color w:val="0070C0"/>
          <w:sz w:val="24"/>
          <w:szCs w:val="24"/>
        </w:rPr>
        <w:t xml:space="preserve">od pacjentów przez dentystów </w:t>
      </w:r>
      <w:r w:rsidR="00A061E8" w:rsidRPr="00B45E88">
        <w:rPr>
          <w:rFonts w:ascii="Times New Roman" w:hAnsi="Times New Roman"/>
          <w:color w:val="0070C0"/>
          <w:sz w:val="24"/>
          <w:szCs w:val="24"/>
        </w:rPr>
        <w:t>przed zastosowaniem amalgamatu</w:t>
      </w:r>
      <w:r>
        <w:rPr>
          <w:rFonts w:ascii="Times New Roman" w:hAnsi="Times New Roman"/>
          <w:color w:val="0070C0"/>
          <w:sz w:val="24"/>
          <w:szCs w:val="24"/>
        </w:rPr>
        <w:t>)</w:t>
      </w:r>
    </w:p>
    <w:p w:rsidR="00A061E8" w:rsidRPr="00A061E8" w:rsidRDefault="00B45E88" w:rsidP="00A061E8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p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lakaty promujące stomatologię bezrtęciową, które zostaną umieszczone w klinikach dentystycznych oraz rządowych placówkach opieki zdrowotnej</w:t>
      </w:r>
    </w:p>
    <w:p w:rsidR="00A061E8" w:rsidRPr="00A061E8" w:rsidRDefault="00B45E88" w:rsidP="00A061E8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o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n</w:t>
      </w:r>
      <w:r>
        <w:rPr>
          <w:rFonts w:ascii="Times New Roman" w:hAnsi="Times New Roman"/>
          <w:color w:val="0070C0"/>
          <w:sz w:val="24"/>
          <w:szCs w:val="24"/>
        </w:rPr>
        <w:t>-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line</w:t>
      </w:r>
      <w:r>
        <w:rPr>
          <w:rFonts w:ascii="Times New Roman" w:hAnsi="Times New Roman"/>
          <w:color w:val="0070C0"/>
          <w:sz w:val="24"/>
          <w:szCs w:val="24"/>
        </w:rPr>
        <w:t xml:space="preserve"> (</w:t>
      </w:r>
      <w:r w:rsidR="00A061E8">
        <w:rPr>
          <w:rFonts w:ascii="Times New Roman" w:hAnsi="Times New Roman"/>
          <w:color w:val="0070C0"/>
          <w:sz w:val="24"/>
          <w:szCs w:val="24"/>
        </w:rPr>
        <w:t>u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mieszczenie szczegółowych informacji na rządowych stronach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internetowych</w:t>
      </w:r>
      <w:r>
        <w:rPr>
          <w:rFonts w:ascii="Times New Roman" w:hAnsi="Times New Roman"/>
          <w:color w:val="0070C0"/>
          <w:sz w:val="24"/>
          <w:szCs w:val="24"/>
        </w:rPr>
        <w:t>)</w:t>
      </w:r>
      <w:r w:rsidR="00A061E8" w:rsidRPr="00A061E8">
        <w:rPr>
          <w:rFonts w:ascii="Times New Roman" w:hAnsi="Times New Roman"/>
          <w:color w:val="0070C0"/>
          <w:sz w:val="24"/>
          <w:szCs w:val="24"/>
        </w:rPr>
        <w:t>.</w:t>
      </w:r>
    </w:p>
    <w:p w:rsidR="00A061E8" w:rsidRPr="00A061E8" w:rsidRDefault="00A061E8" w:rsidP="00A061E8">
      <w:pPr>
        <w:pStyle w:val="Akapitzlist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5302A" w:rsidRDefault="0035302A" w:rsidP="00126170">
      <w:pPr>
        <w:pStyle w:val="NormalnyWeb"/>
        <w:spacing w:before="0" w:beforeAutospacing="0" w:after="240" w:afterAutospacing="0" w:line="276" w:lineRule="auto"/>
        <w:jc w:val="both"/>
      </w:pPr>
    </w:p>
    <w:p w:rsidR="00A061E8" w:rsidRDefault="00A061E8" w:rsidP="00126170">
      <w:pPr>
        <w:pStyle w:val="NormalnyWeb"/>
        <w:spacing w:before="0" w:beforeAutospacing="0" w:after="240" w:afterAutospacing="0" w:line="276" w:lineRule="auto"/>
        <w:jc w:val="both"/>
      </w:pPr>
    </w:p>
    <w:p w:rsidR="00A061E8" w:rsidRDefault="00A061E8" w:rsidP="00126170">
      <w:pPr>
        <w:pStyle w:val="NormalnyWeb"/>
        <w:spacing w:before="0" w:beforeAutospacing="0" w:after="240" w:afterAutospacing="0" w:line="276" w:lineRule="auto"/>
        <w:jc w:val="both"/>
      </w:pPr>
    </w:p>
    <w:p w:rsidR="00A061E8" w:rsidRDefault="00A061E8" w:rsidP="00126170">
      <w:pPr>
        <w:pStyle w:val="NormalnyWeb"/>
        <w:spacing w:before="0" w:beforeAutospacing="0" w:after="240" w:afterAutospacing="0" w:line="276" w:lineRule="auto"/>
        <w:jc w:val="both"/>
      </w:pPr>
    </w:p>
    <w:p w:rsidR="00BF638E" w:rsidRDefault="008F58E7" w:rsidP="00DE1376">
      <w:pPr>
        <w:pStyle w:val="NormalnyWeb"/>
        <w:spacing w:before="0" w:beforeAutospacing="0" w:after="240" w:afterAutospacing="0" w:line="276" w:lineRule="auto"/>
        <w:jc w:val="both"/>
      </w:pPr>
      <w:r>
        <w:t xml:space="preserve">W załączeniu znajduje się zestawienia zadań, ramy czasowe, podmiot odpowiedzialny za wdrożenie zadania jak również źródło finansowania oraz mierniki, służące określeniu realizacji celu. Sprawozdawczość związana z realizacją zadań należy do ministra właściwego do spraw środowiska. Dokument ten może podlegać zmianom bądź uzupełnieniom. </w:t>
      </w:r>
    </w:p>
    <w:p w:rsidR="008A70CC" w:rsidRDefault="008A70CC" w:rsidP="00DE1376">
      <w:pPr>
        <w:pStyle w:val="NormalnyWeb"/>
        <w:spacing w:before="0" w:beforeAutospacing="0" w:after="240" w:afterAutospacing="0" w:line="276" w:lineRule="auto"/>
        <w:jc w:val="both"/>
      </w:pPr>
    </w:p>
    <w:p w:rsidR="008A70CC" w:rsidRDefault="008A70CC" w:rsidP="00DE1376">
      <w:pPr>
        <w:pStyle w:val="NormalnyWeb"/>
        <w:spacing w:before="0" w:beforeAutospacing="0" w:after="240" w:afterAutospacing="0" w:line="276" w:lineRule="auto"/>
        <w:jc w:val="both"/>
      </w:pPr>
    </w:p>
    <w:p w:rsidR="008A70CC" w:rsidRDefault="008A70CC" w:rsidP="00266D36">
      <w:pPr>
        <w:pStyle w:val="NormalnyWeb"/>
        <w:spacing w:before="0" w:beforeAutospacing="0" w:after="240" w:afterAutospacing="0" w:line="276" w:lineRule="auto"/>
        <w:ind w:firstLine="708"/>
        <w:jc w:val="center"/>
        <w:rPr>
          <w:b/>
          <w:sz w:val="22"/>
          <w:szCs w:val="22"/>
        </w:rPr>
      </w:pPr>
      <w:r w:rsidRPr="00BE04EA">
        <w:rPr>
          <w:b/>
          <w:sz w:val="22"/>
          <w:szCs w:val="22"/>
        </w:rPr>
        <w:lastRenderedPageBreak/>
        <w:t>Działania na rzecz wycofywania amalgamatu</w:t>
      </w:r>
    </w:p>
    <w:p w:rsidR="008A70CC" w:rsidRPr="00BE04EA" w:rsidRDefault="008A70CC" w:rsidP="00266D36">
      <w:pPr>
        <w:pStyle w:val="NormalnyWeb"/>
        <w:spacing w:before="0" w:beforeAutospacing="0" w:after="240" w:afterAutospacing="0" w:line="276" w:lineRule="auto"/>
        <w:ind w:firstLine="708"/>
        <w:jc w:val="center"/>
        <w:rPr>
          <w:b/>
          <w:sz w:val="22"/>
          <w:szCs w:val="22"/>
        </w:rPr>
      </w:pPr>
    </w:p>
    <w:tbl>
      <w:tblPr>
        <w:tblStyle w:val="Tabela-Siatka"/>
        <w:tblW w:w="14174" w:type="dxa"/>
        <w:tblLook w:val="04A0" w:firstRow="1" w:lastRow="0" w:firstColumn="1" w:lastColumn="0" w:noHBand="0" w:noVBand="1"/>
      </w:tblPr>
      <w:tblGrid>
        <w:gridCol w:w="1271"/>
        <w:gridCol w:w="4397"/>
        <w:gridCol w:w="2407"/>
        <w:gridCol w:w="3263"/>
        <w:gridCol w:w="2836"/>
      </w:tblGrid>
      <w:tr w:rsidR="008A70CC" w:rsidTr="00266D36">
        <w:trPr>
          <w:trHeight w:val="1362"/>
        </w:trPr>
        <w:tc>
          <w:tcPr>
            <w:tcW w:w="1271" w:type="dxa"/>
          </w:tcPr>
          <w:p w:rsidR="008A70CC" w:rsidRPr="00BF638E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38E">
              <w:rPr>
                <w:rFonts w:ascii="Times New Roman" w:hAnsi="Times New Roman" w:cs="Times New Roman"/>
                <w:b/>
              </w:rPr>
              <w:t>ramy czasowe</w:t>
            </w:r>
          </w:p>
        </w:tc>
        <w:tc>
          <w:tcPr>
            <w:tcW w:w="4397" w:type="dxa"/>
          </w:tcPr>
          <w:p w:rsidR="008A70CC" w:rsidRPr="00BF638E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38E">
              <w:rPr>
                <w:rFonts w:ascii="Times New Roman" w:hAnsi="Times New Roman" w:cs="Times New Roman"/>
                <w:b/>
              </w:rPr>
              <w:t>nazwa działania</w:t>
            </w:r>
          </w:p>
        </w:tc>
        <w:tc>
          <w:tcPr>
            <w:tcW w:w="2407" w:type="dxa"/>
          </w:tcPr>
          <w:p w:rsidR="008A70CC" w:rsidRPr="00BF638E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38E">
              <w:rPr>
                <w:rFonts w:ascii="Times New Roman" w:hAnsi="Times New Roman" w:cs="Times New Roman"/>
                <w:b/>
              </w:rPr>
              <w:t>podmiot odpowiedzialny</w:t>
            </w:r>
          </w:p>
        </w:tc>
        <w:tc>
          <w:tcPr>
            <w:tcW w:w="3263" w:type="dxa"/>
          </w:tcPr>
          <w:p w:rsidR="008A70CC" w:rsidRPr="00BF638E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38E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2836" w:type="dxa"/>
          </w:tcPr>
          <w:p w:rsidR="008A70CC" w:rsidRPr="00BF638E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38E">
              <w:rPr>
                <w:rFonts w:ascii="Times New Roman" w:hAnsi="Times New Roman" w:cs="Times New Roman"/>
                <w:b/>
              </w:rPr>
              <w:t>mierniki</w:t>
            </w:r>
          </w:p>
        </w:tc>
      </w:tr>
      <w:tr w:rsidR="008A70CC" w:rsidTr="00266D36">
        <w:trPr>
          <w:trHeight w:val="908"/>
        </w:trPr>
        <w:tc>
          <w:tcPr>
            <w:tcW w:w="1271" w:type="dxa"/>
          </w:tcPr>
          <w:p w:rsidR="008A70CC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397" w:type="dxa"/>
          </w:tcPr>
          <w:p w:rsidR="008A70CC" w:rsidRDefault="008A70CC" w:rsidP="00266D36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BE04EA">
              <w:rPr>
                <w:rFonts w:ascii="Times New Roman" w:hAnsi="Times New Roman" w:cs="Times New Roman"/>
              </w:rPr>
              <w:t>1.</w:t>
            </w:r>
            <w:r w:rsidRPr="00BE04EA">
              <w:rPr>
                <w:rFonts w:ascii="Times New Roman" w:hAnsi="Times New Roman" w:cs="Times New Roman"/>
              </w:rPr>
              <w:tab/>
              <w:t>Obowiązek stosowania amalgamatu stomatologicznego w formie kapsułkowanej</w:t>
            </w:r>
          </w:p>
        </w:tc>
        <w:tc>
          <w:tcPr>
            <w:tcW w:w="2407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 prowadzone w gabinetach stomatologicznych</w:t>
            </w:r>
          </w:p>
        </w:tc>
      </w:tr>
      <w:tr w:rsidR="008A70CC" w:rsidTr="00266D36">
        <w:trPr>
          <w:trHeight w:val="882"/>
        </w:trPr>
        <w:tc>
          <w:tcPr>
            <w:tcW w:w="1271" w:type="dxa"/>
          </w:tcPr>
          <w:p w:rsidR="008A70CC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397" w:type="dxa"/>
          </w:tcPr>
          <w:p w:rsidR="008A70CC" w:rsidRDefault="008A70CC" w:rsidP="00266D36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BE04EA">
              <w:rPr>
                <w:rFonts w:ascii="Times New Roman" w:hAnsi="Times New Roman" w:cs="Times New Roman"/>
              </w:rPr>
              <w:t>2.</w:t>
            </w:r>
            <w:r w:rsidRPr="00BE04EA">
              <w:rPr>
                <w:rFonts w:ascii="Times New Roman" w:hAnsi="Times New Roman" w:cs="Times New Roman"/>
              </w:rPr>
              <w:tab/>
              <w:t>Stosowanie separatorów amalgamatu w gabinetach stomatologicznych</w:t>
            </w:r>
          </w:p>
        </w:tc>
        <w:tc>
          <w:tcPr>
            <w:tcW w:w="2407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r w:rsidRPr="000432BD">
              <w:rPr>
                <w:rFonts w:ascii="Times New Roman" w:hAnsi="Times New Roman" w:cs="Times New Roman"/>
              </w:rPr>
              <w:t>Kontrole prowadzone w gabinetach stomatologicznych</w:t>
            </w:r>
          </w:p>
        </w:tc>
      </w:tr>
      <w:tr w:rsidR="008A70CC" w:rsidTr="00266D36">
        <w:trPr>
          <w:trHeight w:val="882"/>
        </w:trPr>
        <w:tc>
          <w:tcPr>
            <w:tcW w:w="1271" w:type="dxa"/>
          </w:tcPr>
          <w:p w:rsidR="008A70CC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397" w:type="dxa"/>
          </w:tcPr>
          <w:p w:rsidR="008A70CC" w:rsidRDefault="008A70CC" w:rsidP="00266D36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BE04EA">
              <w:rPr>
                <w:rFonts w:ascii="Times New Roman" w:hAnsi="Times New Roman" w:cs="Times New Roman"/>
              </w:rPr>
              <w:t>3.</w:t>
            </w:r>
            <w:r w:rsidRPr="00BE04EA">
              <w:rPr>
                <w:rFonts w:ascii="Times New Roman" w:hAnsi="Times New Roman" w:cs="Times New Roman"/>
              </w:rPr>
              <w:tab/>
              <w:t>Szkolenia dla studentów stomatologii i lekarzy dentystów</w:t>
            </w:r>
          </w:p>
        </w:tc>
        <w:tc>
          <w:tcPr>
            <w:tcW w:w="2407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CC" w:rsidTr="00266D36">
        <w:trPr>
          <w:trHeight w:val="882"/>
        </w:trPr>
        <w:tc>
          <w:tcPr>
            <w:tcW w:w="1271" w:type="dxa"/>
          </w:tcPr>
          <w:p w:rsidR="008A70CC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397" w:type="dxa"/>
          </w:tcPr>
          <w:p w:rsidR="008A70CC" w:rsidRDefault="008A70CC" w:rsidP="00266D36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BE04EA">
              <w:rPr>
                <w:rFonts w:ascii="Times New Roman" w:hAnsi="Times New Roman" w:cs="Times New Roman"/>
              </w:rPr>
              <w:t>4.</w:t>
            </w:r>
            <w:r w:rsidRPr="00BE04EA">
              <w:rPr>
                <w:rFonts w:ascii="Times New Roman" w:hAnsi="Times New Roman" w:cs="Times New Roman"/>
              </w:rPr>
              <w:tab/>
              <w:t>Kontrole w gabinetach stomatologicznych</w:t>
            </w:r>
          </w:p>
        </w:tc>
        <w:tc>
          <w:tcPr>
            <w:tcW w:w="2407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Inspektorat Sanitarny</w:t>
            </w:r>
          </w:p>
        </w:tc>
        <w:tc>
          <w:tcPr>
            <w:tcW w:w="3263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CC" w:rsidTr="00266D36">
        <w:trPr>
          <w:trHeight w:val="882"/>
        </w:trPr>
        <w:tc>
          <w:tcPr>
            <w:tcW w:w="1271" w:type="dxa"/>
          </w:tcPr>
          <w:p w:rsidR="008A70CC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397" w:type="dxa"/>
          </w:tcPr>
          <w:p w:rsidR="008A70CC" w:rsidRDefault="008A70CC" w:rsidP="00266D36">
            <w:pPr>
              <w:spacing w:after="240" w:line="276" w:lineRule="auto"/>
              <w:rPr>
                <w:rFonts w:ascii="Times New Roman" w:hAnsi="Times New Roman" w:cs="Times New Roman"/>
              </w:rPr>
            </w:pPr>
            <w:r w:rsidRPr="00BE04EA">
              <w:rPr>
                <w:rFonts w:ascii="Times New Roman" w:hAnsi="Times New Roman" w:cs="Times New Roman"/>
              </w:rPr>
              <w:t>5.</w:t>
            </w:r>
            <w:r w:rsidRPr="00BE04EA">
              <w:rPr>
                <w:rFonts w:ascii="Times New Roman" w:hAnsi="Times New Roman" w:cs="Times New Roman"/>
              </w:rPr>
              <w:tab/>
              <w:t>Działania profilaktyczne</w:t>
            </w:r>
          </w:p>
        </w:tc>
        <w:tc>
          <w:tcPr>
            <w:tcW w:w="2407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CC" w:rsidTr="00266D36">
        <w:trPr>
          <w:trHeight w:val="882"/>
        </w:trPr>
        <w:tc>
          <w:tcPr>
            <w:tcW w:w="1271" w:type="dxa"/>
          </w:tcPr>
          <w:p w:rsidR="008A70CC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70CC" w:rsidTr="00266D36">
        <w:trPr>
          <w:trHeight w:val="882"/>
        </w:trPr>
        <w:tc>
          <w:tcPr>
            <w:tcW w:w="1271" w:type="dxa"/>
          </w:tcPr>
          <w:p w:rsidR="008A70CC" w:rsidRDefault="008A70CC" w:rsidP="00266D36">
            <w:pPr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70CC" w:rsidRDefault="008A70CC" w:rsidP="00266D36">
            <w:pPr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0CC" w:rsidRPr="00886588" w:rsidRDefault="008A70CC" w:rsidP="00266D36">
      <w:pPr>
        <w:spacing w:after="240" w:line="276" w:lineRule="auto"/>
        <w:jc w:val="both"/>
        <w:rPr>
          <w:rFonts w:ascii="Times New Roman" w:hAnsi="Times New Roman" w:cs="Times New Roman"/>
        </w:rPr>
      </w:pPr>
    </w:p>
    <w:p w:rsidR="008A70CC" w:rsidRPr="00886588" w:rsidRDefault="008A70CC" w:rsidP="00266D36">
      <w:pPr>
        <w:spacing w:after="240" w:line="276" w:lineRule="auto"/>
        <w:jc w:val="both"/>
        <w:rPr>
          <w:rFonts w:ascii="Times New Roman" w:hAnsi="Times New Roman" w:cs="Times New Roman"/>
        </w:rPr>
      </w:pPr>
    </w:p>
    <w:p w:rsidR="008A70CC" w:rsidRDefault="008A70CC" w:rsidP="00266D36"/>
    <w:p w:rsidR="008A70CC" w:rsidRDefault="008A70CC" w:rsidP="00DE1376">
      <w:pPr>
        <w:pStyle w:val="NormalnyWeb"/>
        <w:spacing w:before="0" w:beforeAutospacing="0" w:after="240" w:afterAutospacing="0" w:line="276" w:lineRule="auto"/>
        <w:jc w:val="both"/>
      </w:pPr>
      <w:bookmarkStart w:id="0" w:name="_GoBack"/>
      <w:bookmarkEnd w:id="0"/>
    </w:p>
    <w:sectPr w:rsidR="008A70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21" w:rsidRDefault="00AA4421" w:rsidP="0029488F">
      <w:pPr>
        <w:spacing w:after="0" w:line="240" w:lineRule="auto"/>
      </w:pPr>
      <w:r>
        <w:separator/>
      </w:r>
    </w:p>
  </w:endnote>
  <w:endnote w:type="continuationSeparator" w:id="0">
    <w:p w:rsidR="00AA4421" w:rsidRDefault="00AA4421" w:rsidP="0029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047776"/>
      <w:docPartObj>
        <w:docPartGallery w:val="Page Numbers (Bottom of Page)"/>
        <w:docPartUnique/>
      </w:docPartObj>
    </w:sdtPr>
    <w:sdtEndPr/>
    <w:sdtContent>
      <w:p w:rsidR="0065573F" w:rsidRDefault="00655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F0">
          <w:rPr>
            <w:noProof/>
          </w:rPr>
          <w:t>2</w:t>
        </w:r>
        <w:r>
          <w:fldChar w:fldCharType="end"/>
        </w:r>
      </w:p>
    </w:sdtContent>
  </w:sdt>
  <w:p w:rsidR="0065573F" w:rsidRDefault="00655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21" w:rsidRDefault="00AA4421" w:rsidP="0029488F">
      <w:pPr>
        <w:spacing w:after="0" w:line="240" w:lineRule="auto"/>
      </w:pPr>
      <w:r>
        <w:separator/>
      </w:r>
    </w:p>
  </w:footnote>
  <w:footnote w:type="continuationSeparator" w:id="0">
    <w:p w:rsidR="00AA4421" w:rsidRDefault="00AA4421" w:rsidP="0029488F">
      <w:pPr>
        <w:spacing w:after="0" w:line="240" w:lineRule="auto"/>
      </w:pPr>
      <w:r>
        <w:continuationSeparator/>
      </w:r>
    </w:p>
  </w:footnote>
  <w:footnote w:id="1">
    <w:p w:rsidR="00474EC9" w:rsidRDefault="00474E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01D0">
        <w:rPr>
          <w:rFonts w:ascii="Times New Roman" w:hAnsi="Times New Roman" w:cs="Times New Roman"/>
        </w:rPr>
        <w:t>https://ec.europa.eu/energy/intelligent/projects/en/partners/bio</w:t>
      </w:r>
    </w:p>
  </w:footnote>
  <w:footnote w:id="2">
    <w:p w:rsidR="00AE78EE" w:rsidRDefault="00AE78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78EE">
        <w:rPr>
          <w:rFonts w:ascii="Times New Roman" w:hAnsi="Times New Roman" w:cs="Times New Roman"/>
        </w:rPr>
        <w:t>http://www.mercuryconvention.org/</w:t>
      </w:r>
    </w:p>
  </w:footnote>
  <w:footnote w:id="3">
    <w:p w:rsidR="00EE4B44" w:rsidRDefault="00EE4B44">
      <w:pPr>
        <w:pStyle w:val="Tekstprzypisudolnego"/>
      </w:pPr>
      <w:r>
        <w:rPr>
          <w:rStyle w:val="Odwoanieprzypisudolnego"/>
        </w:rPr>
        <w:footnoteRef/>
      </w:r>
      <w:r w:rsidRPr="00EE4B44">
        <w:rPr>
          <w:rFonts w:ascii="Times New Roman" w:hAnsi="Times New Roman" w:cs="Times New Roman"/>
        </w:rPr>
        <w:t xml:space="preserve"> https://eur-lex.europa.eu/legal-content/PL/TXT/?uri=LEGISSUM:4304035</w:t>
      </w:r>
    </w:p>
  </w:footnote>
  <w:footnote w:id="4">
    <w:p w:rsidR="00020BE1" w:rsidRPr="00020BE1" w:rsidRDefault="00020BE1">
      <w:pPr>
        <w:pStyle w:val="Tekstprzypisudolnego"/>
        <w:rPr>
          <w:b/>
        </w:rPr>
      </w:pPr>
      <w:r w:rsidRPr="00020BE1">
        <w:rPr>
          <w:rStyle w:val="Pogrubienie"/>
          <w:rFonts w:ascii="Times New Roman" w:hAnsi="Times New Roman" w:cs="Times New Roman"/>
          <w:b w:val="0"/>
        </w:rPr>
        <w:footnoteRef/>
      </w:r>
      <w:r w:rsidRPr="00020BE1">
        <w:rPr>
          <w:rStyle w:val="Pogrubienie"/>
          <w:rFonts w:ascii="Times New Roman" w:hAnsi="Times New Roman" w:cs="Times New Roman"/>
          <w:b w:val="0"/>
        </w:rPr>
        <w:t xml:space="preserve"> http://www.gios.gov.pl/images/dokumenty/raporty/etap1_20101022.pdf (str. 29)</w:t>
      </w:r>
    </w:p>
  </w:footnote>
  <w:footnote w:id="5">
    <w:p w:rsidR="00B14707" w:rsidRDefault="00B14707" w:rsidP="00B147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3C10">
        <w:rPr>
          <w:rStyle w:val="Pogrubienie"/>
          <w:rFonts w:ascii="Times New Roman" w:hAnsi="Times New Roman" w:cs="Times New Roman"/>
          <w:b w:val="0"/>
        </w:rPr>
        <w:t>Stanowisko Nr 6/16/P-VII Prezydium Naczelnej Rady Lekarskiej z dnia 23 lutego 2016 r. w sprawie projektu rozporządzenia Parlamentu Europejskiego i Rady w sprawie rtęci oraz uchylającego rozporządzenie (WE) nr 1102/2008.</w:t>
      </w:r>
    </w:p>
  </w:footnote>
  <w:footnote w:id="6">
    <w:p w:rsidR="00B14707" w:rsidRDefault="00B14707" w:rsidP="00B147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3C10">
        <w:rPr>
          <w:rStyle w:val="Pogrubienie"/>
          <w:rFonts w:ascii="Times New Roman" w:hAnsi="Times New Roman" w:cs="Times New Roman"/>
          <w:b w:val="0"/>
        </w:rPr>
        <w:t>Stanowisko Nr 6/16/P-VII Prezydium Naczelnej Rady Lekarskiej z dnia 23 lutego 2016 r. w sprawie projektu rozporządzenia Parlamentu Europejskiego i Rady w sprawie rtęci oraz uchylającego rozporządzenie (WE) nr 1102/2008.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3F" w:rsidRDefault="0065573F" w:rsidP="0029488F">
    <w:pPr>
      <w:pStyle w:val="Nagwek"/>
    </w:pPr>
  </w:p>
  <w:p w:rsidR="0065573F" w:rsidRDefault="00655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7A6"/>
    <w:multiLevelType w:val="hybridMultilevel"/>
    <w:tmpl w:val="3AEC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276"/>
    <w:multiLevelType w:val="hybridMultilevel"/>
    <w:tmpl w:val="877C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409D"/>
    <w:multiLevelType w:val="hybridMultilevel"/>
    <w:tmpl w:val="E198307E"/>
    <w:lvl w:ilvl="0" w:tplc="DA4C5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7B91"/>
    <w:multiLevelType w:val="hybridMultilevel"/>
    <w:tmpl w:val="5E58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2700"/>
    <w:multiLevelType w:val="multilevel"/>
    <w:tmpl w:val="DC5EB1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802516D"/>
    <w:multiLevelType w:val="multilevel"/>
    <w:tmpl w:val="FAE49D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B334646"/>
    <w:multiLevelType w:val="hybridMultilevel"/>
    <w:tmpl w:val="7ED05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146"/>
    <w:multiLevelType w:val="multilevel"/>
    <w:tmpl w:val="F65847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01647E8"/>
    <w:multiLevelType w:val="hybridMultilevel"/>
    <w:tmpl w:val="CDCC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932D6"/>
    <w:multiLevelType w:val="multilevel"/>
    <w:tmpl w:val="D42E8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B00694"/>
    <w:multiLevelType w:val="multilevel"/>
    <w:tmpl w:val="280E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939A0"/>
    <w:multiLevelType w:val="multilevel"/>
    <w:tmpl w:val="DDFA7B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D132CA"/>
    <w:multiLevelType w:val="multilevel"/>
    <w:tmpl w:val="6A98BB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72701"/>
    <w:multiLevelType w:val="hybridMultilevel"/>
    <w:tmpl w:val="5E58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0C"/>
    <w:rsid w:val="00020BE1"/>
    <w:rsid w:val="00051664"/>
    <w:rsid w:val="000617A9"/>
    <w:rsid w:val="00061DF0"/>
    <w:rsid w:val="00097600"/>
    <w:rsid w:val="0010140B"/>
    <w:rsid w:val="00126170"/>
    <w:rsid w:val="00146EBE"/>
    <w:rsid w:val="00184B3D"/>
    <w:rsid w:val="001A5DA5"/>
    <w:rsid w:val="00243476"/>
    <w:rsid w:val="00261836"/>
    <w:rsid w:val="002860C0"/>
    <w:rsid w:val="0029488F"/>
    <w:rsid w:val="00294DAA"/>
    <w:rsid w:val="002B21BD"/>
    <w:rsid w:val="0030256D"/>
    <w:rsid w:val="00312659"/>
    <w:rsid w:val="00325301"/>
    <w:rsid w:val="00332FF7"/>
    <w:rsid w:val="0035302A"/>
    <w:rsid w:val="00383761"/>
    <w:rsid w:val="003A5A71"/>
    <w:rsid w:val="003F258D"/>
    <w:rsid w:val="004701D0"/>
    <w:rsid w:val="00474EC9"/>
    <w:rsid w:val="004E2EF2"/>
    <w:rsid w:val="004F2C85"/>
    <w:rsid w:val="00563A33"/>
    <w:rsid w:val="00574976"/>
    <w:rsid w:val="00591785"/>
    <w:rsid w:val="005A0679"/>
    <w:rsid w:val="005A3935"/>
    <w:rsid w:val="005C2515"/>
    <w:rsid w:val="005E3C10"/>
    <w:rsid w:val="00605985"/>
    <w:rsid w:val="00613775"/>
    <w:rsid w:val="00622F8A"/>
    <w:rsid w:val="0062486A"/>
    <w:rsid w:val="006400E1"/>
    <w:rsid w:val="00646F0C"/>
    <w:rsid w:val="0065573F"/>
    <w:rsid w:val="006669CC"/>
    <w:rsid w:val="0066772C"/>
    <w:rsid w:val="006902CB"/>
    <w:rsid w:val="006909D7"/>
    <w:rsid w:val="006A1523"/>
    <w:rsid w:val="006A6A4D"/>
    <w:rsid w:val="006B7B64"/>
    <w:rsid w:val="006C000C"/>
    <w:rsid w:val="00707862"/>
    <w:rsid w:val="007437DB"/>
    <w:rsid w:val="00743E20"/>
    <w:rsid w:val="007608A0"/>
    <w:rsid w:val="00794324"/>
    <w:rsid w:val="007A4D6D"/>
    <w:rsid w:val="007C1142"/>
    <w:rsid w:val="007C7D01"/>
    <w:rsid w:val="007F2A71"/>
    <w:rsid w:val="00852F44"/>
    <w:rsid w:val="008618EA"/>
    <w:rsid w:val="008773F0"/>
    <w:rsid w:val="00881CB3"/>
    <w:rsid w:val="0088210C"/>
    <w:rsid w:val="00886588"/>
    <w:rsid w:val="00890CA2"/>
    <w:rsid w:val="008A70CC"/>
    <w:rsid w:val="008B1A8D"/>
    <w:rsid w:val="008E6825"/>
    <w:rsid w:val="008F58E7"/>
    <w:rsid w:val="009157DA"/>
    <w:rsid w:val="00973F58"/>
    <w:rsid w:val="0097503D"/>
    <w:rsid w:val="009A6A6D"/>
    <w:rsid w:val="009D78B3"/>
    <w:rsid w:val="009E4AA7"/>
    <w:rsid w:val="009F33CA"/>
    <w:rsid w:val="00A061E8"/>
    <w:rsid w:val="00A25745"/>
    <w:rsid w:val="00A9529A"/>
    <w:rsid w:val="00AA4421"/>
    <w:rsid w:val="00AA7575"/>
    <w:rsid w:val="00AC6EDC"/>
    <w:rsid w:val="00AE78EE"/>
    <w:rsid w:val="00B12823"/>
    <w:rsid w:val="00B14707"/>
    <w:rsid w:val="00B34434"/>
    <w:rsid w:val="00B34E26"/>
    <w:rsid w:val="00B45E88"/>
    <w:rsid w:val="00B84921"/>
    <w:rsid w:val="00B9135F"/>
    <w:rsid w:val="00B93FD7"/>
    <w:rsid w:val="00BB2971"/>
    <w:rsid w:val="00BB57CD"/>
    <w:rsid w:val="00BD5AE9"/>
    <w:rsid w:val="00BF638E"/>
    <w:rsid w:val="00C15A47"/>
    <w:rsid w:val="00C42E38"/>
    <w:rsid w:val="00C8021B"/>
    <w:rsid w:val="00C8031D"/>
    <w:rsid w:val="00C9287C"/>
    <w:rsid w:val="00CD07F1"/>
    <w:rsid w:val="00CE72E5"/>
    <w:rsid w:val="00D1525B"/>
    <w:rsid w:val="00D40749"/>
    <w:rsid w:val="00D41250"/>
    <w:rsid w:val="00DE1376"/>
    <w:rsid w:val="00DE2EA5"/>
    <w:rsid w:val="00E4290E"/>
    <w:rsid w:val="00E56992"/>
    <w:rsid w:val="00E976D5"/>
    <w:rsid w:val="00EA4EDA"/>
    <w:rsid w:val="00EB1261"/>
    <w:rsid w:val="00EB73AC"/>
    <w:rsid w:val="00EE4B44"/>
    <w:rsid w:val="00F0223E"/>
    <w:rsid w:val="00F1771D"/>
    <w:rsid w:val="00F52600"/>
    <w:rsid w:val="00F561C7"/>
    <w:rsid w:val="00F730A1"/>
    <w:rsid w:val="00F97555"/>
    <w:rsid w:val="00FB6749"/>
    <w:rsid w:val="00FC2996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056B"/>
  <w15:chartTrackingRefBased/>
  <w15:docId w15:val="{A8276F89-E110-4A34-8CC0-BD05B58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8F"/>
  </w:style>
  <w:style w:type="paragraph" w:styleId="Stopka">
    <w:name w:val="footer"/>
    <w:basedOn w:val="Normalny"/>
    <w:link w:val="StopkaZnak"/>
    <w:uiPriority w:val="99"/>
    <w:unhideWhenUsed/>
    <w:rsid w:val="0029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88F"/>
  </w:style>
  <w:style w:type="paragraph" w:styleId="NormalnyWeb">
    <w:name w:val="Normal (Web)"/>
    <w:basedOn w:val="Normalny"/>
    <w:uiPriority w:val="99"/>
    <w:unhideWhenUsed/>
    <w:rsid w:val="00A2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4B3D"/>
    <w:rPr>
      <w:color w:val="0000FF"/>
      <w:u w:val="single"/>
    </w:rPr>
  </w:style>
  <w:style w:type="paragraph" w:styleId="Akapitzlist">
    <w:name w:val="List Paragraph"/>
    <w:basedOn w:val="Normalny"/>
    <w:qFormat/>
    <w:rsid w:val="00B84921"/>
    <w:pPr>
      <w:ind w:left="720"/>
      <w:contextualSpacing/>
    </w:pPr>
  </w:style>
  <w:style w:type="character" w:customStyle="1" w:styleId="st">
    <w:name w:val="st"/>
    <w:basedOn w:val="Domylnaczcionkaakapitu"/>
    <w:rsid w:val="009157DA"/>
  </w:style>
  <w:style w:type="character" w:styleId="Uwydatnienie">
    <w:name w:val="Emphasis"/>
    <w:basedOn w:val="Domylnaczcionkaakapitu"/>
    <w:uiPriority w:val="20"/>
    <w:qFormat/>
    <w:rsid w:val="009157DA"/>
    <w:rPr>
      <w:i/>
      <w:iCs/>
    </w:rPr>
  </w:style>
  <w:style w:type="character" w:styleId="Pogrubienie">
    <w:name w:val="Strong"/>
    <w:basedOn w:val="Domylnaczcionkaakapitu"/>
    <w:uiPriority w:val="22"/>
    <w:qFormat/>
    <w:rsid w:val="00622F8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2E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E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E38"/>
    <w:rPr>
      <w:vertAlign w:val="superscript"/>
    </w:rPr>
  </w:style>
  <w:style w:type="table" w:styleId="Tabela-Siatka">
    <w:name w:val="Table Grid"/>
    <w:basedOn w:val="Standardowy"/>
    <w:uiPriority w:val="39"/>
    <w:rsid w:val="00BF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ny"/>
    <w:uiPriority w:val="40"/>
    <w:qFormat/>
    <w:rsid w:val="00BF638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F638E"/>
    <w:rPr>
      <w:i/>
      <w:iCs/>
    </w:rPr>
  </w:style>
  <w:style w:type="table" w:styleId="redniecieniowanie2akcent5">
    <w:name w:val="Medium Shading 2 Accent 5"/>
    <w:basedOn w:val="Standardowy"/>
    <w:uiPriority w:val="64"/>
    <w:rsid w:val="00BF638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.org/abou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AUTO/?uri=celex:32017R08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5050-DA73-5A48-8879-B0787270EE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3340</Words>
  <Characters>20043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 Joanna</dc:creator>
  <cp:keywords/>
  <dc:description/>
  <cp:lastModifiedBy>Andrzej Cisło</cp:lastModifiedBy>
  <cp:revision>2</cp:revision>
  <dcterms:created xsi:type="dcterms:W3CDTF">2019-08-09T15:01:00Z</dcterms:created>
  <dcterms:modified xsi:type="dcterms:W3CDTF">2019-08-09T15:01:00Z</dcterms:modified>
</cp:coreProperties>
</file>